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1C38" w14:textId="77777777" w:rsidR="007221CE" w:rsidRPr="00352893" w:rsidRDefault="007221CE">
      <w:pPr>
        <w:rPr>
          <w:sz w:val="12"/>
          <w:szCs w:val="12"/>
        </w:rPr>
      </w:pPr>
    </w:p>
    <w:tbl>
      <w:tblPr>
        <w:tblStyle w:val="TableGrid"/>
        <w:tblW w:w="5739" w:type="pct"/>
        <w:tblInd w:w="-714" w:type="dxa"/>
        <w:tblLayout w:type="fixed"/>
        <w:tblLook w:val="04A0" w:firstRow="1" w:lastRow="0" w:firstColumn="1" w:lastColumn="0" w:noHBand="0" w:noVBand="1"/>
      </w:tblPr>
      <w:tblGrid>
        <w:gridCol w:w="1517"/>
        <w:gridCol w:w="116"/>
        <w:gridCol w:w="66"/>
        <w:gridCol w:w="648"/>
        <w:gridCol w:w="791"/>
        <w:gridCol w:w="865"/>
        <w:gridCol w:w="321"/>
        <w:gridCol w:w="379"/>
        <w:gridCol w:w="2134"/>
        <w:gridCol w:w="3512"/>
      </w:tblGrid>
      <w:tr w:rsidR="002527A6" w14:paraId="0544BDAE" w14:textId="77777777" w:rsidTr="00352893">
        <w:trPr>
          <w:trHeight w:val="480"/>
        </w:trPr>
        <w:tc>
          <w:tcPr>
            <w:tcW w:w="2089" w:type="pct"/>
            <w:gridSpan w:val="7"/>
            <w:vMerge w:val="restart"/>
          </w:tcPr>
          <w:p w14:paraId="6F9D59B2" w14:textId="77777777" w:rsidR="007221CE" w:rsidRDefault="007221CE"/>
          <w:p w14:paraId="0286FB34" w14:textId="77777777" w:rsidR="007221CE" w:rsidRDefault="007221CE">
            <w:r>
              <w:rPr>
                <w:noProof/>
                <w:lang w:eastAsia="en-GB"/>
              </w:rPr>
              <w:drawing>
                <wp:inline distT="0" distB="0" distL="0" distR="0" wp14:anchorId="60D5176D" wp14:editId="69F09EF7">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0F5F9EFC" w14:textId="77777777" w:rsidR="007221CE" w:rsidRDefault="007221CE"/>
        </w:tc>
        <w:tc>
          <w:tcPr>
            <w:tcW w:w="2911" w:type="pct"/>
            <w:gridSpan w:val="3"/>
          </w:tcPr>
          <w:p w14:paraId="6262D9A7" w14:textId="77777777" w:rsidR="007221CE" w:rsidRPr="007221CE" w:rsidRDefault="007221CE" w:rsidP="007221CE">
            <w:pPr>
              <w:jc w:val="center"/>
              <w:rPr>
                <w:b/>
                <w:sz w:val="36"/>
                <w:szCs w:val="36"/>
              </w:rPr>
            </w:pPr>
            <w:r w:rsidRPr="007221CE">
              <w:rPr>
                <w:b/>
                <w:sz w:val="36"/>
                <w:szCs w:val="36"/>
              </w:rPr>
              <w:t>ROLE PROFILE</w:t>
            </w:r>
          </w:p>
        </w:tc>
      </w:tr>
      <w:tr w:rsidR="002527A6" w14:paraId="37F67D3E" w14:textId="77777777" w:rsidTr="00352893">
        <w:trPr>
          <w:trHeight w:val="558"/>
        </w:trPr>
        <w:tc>
          <w:tcPr>
            <w:tcW w:w="2089" w:type="pct"/>
            <w:gridSpan w:val="7"/>
            <w:vMerge/>
          </w:tcPr>
          <w:p w14:paraId="392D5FCD" w14:textId="77777777" w:rsidR="007221CE" w:rsidRDefault="007221CE"/>
        </w:tc>
        <w:tc>
          <w:tcPr>
            <w:tcW w:w="2911" w:type="pct"/>
            <w:gridSpan w:val="3"/>
            <w:vAlign w:val="center"/>
          </w:tcPr>
          <w:p w14:paraId="1CC12007" w14:textId="7284DFA0" w:rsidR="007221CE" w:rsidRPr="007221CE" w:rsidRDefault="00992335" w:rsidP="00F16544">
            <w:pPr>
              <w:jc w:val="center"/>
              <w:rPr>
                <w:sz w:val="28"/>
                <w:szCs w:val="28"/>
              </w:rPr>
            </w:pPr>
            <w:r>
              <w:rPr>
                <w:sz w:val="28"/>
                <w:szCs w:val="28"/>
              </w:rPr>
              <w:t>Senior Manager – Prudential and Model Risk</w:t>
            </w:r>
          </w:p>
        </w:tc>
      </w:tr>
      <w:tr w:rsidR="00365EB1" w:rsidRPr="007221CE" w14:paraId="4F6232C7" w14:textId="77777777" w:rsidTr="00352893">
        <w:trPr>
          <w:trHeight w:val="288"/>
        </w:trPr>
        <w:tc>
          <w:tcPr>
            <w:tcW w:w="733" w:type="pct"/>
            <w:noWrap/>
            <w:hideMark/>
          </w:tcPr>
          <w:p w14:paraId="062F7F0E" w14:textId="77777777" w:rsidR="00394ABC" w:rsidRPr="00394ABC" w:rsidRDefault="007221CE" w:rsidP="00860AC0">
            <w:pPr>
              <w:rPr>
                <w:b/>
              </w:rPr>
            </w:pPr>
            <w:r w:rsidRPr="00394ABC">
              <w:rPr>
                <w:b/>
              </w:rPr>
              <w:t>Reports to:</w:t>
            </w:r>
          </w:p>
        </w:tc>
        <w:tc>
          <w:tcPr>
            <w:tcW w:w="4267" w:type="pct"/>
            <w:gridSpan w:val="9"/>
            <w:noWrap/>
            <w:hideMark/>
          </w:tcPr>
          <w:p w14:paraId="6729F328" w14:textId="71358806" w:rsidR="007221CE" w:rsidRPr="007221CE" w:rsidRDefault="00815AC9" w:rsidP="006E1B7B">
            <w:r>
              <w:t xml:space="preserve">Head of </w:t>
            </w:r>
            <w:r w:rsidR="00D3526E">
              <w:rPr>
                <w:rFonts w:ascii="Calibri" w:hAnsi="Calibri" w:cs="Arial"/>
                <w:lang w:eastAsia="en-GB"/>
              </w:rPr>
              <w:t>Financial and Model Risk</w:t>
            </w:r>
          </w:p>
        </w:tc>
      </w:tr>
      <w:tr w:rsidR="002527A6" w:rsidRPr="007221CE" w14:paraId="1B475498" w14:textId="77777777" w:rsidTr="00915F71">
        <w:trPr>
          <w:trHeight w:val="288"/>
        </w:trPr>
        <w:tc>
          <w:tcPr>
            <w:tcW w:w="733" w:type="pct"/>
            <w:noWrap/>
            <w:hideMark/>
          </w:tcPr>
          <w:p w14:paraId="0542CFB1" w14:textId="77777777" w:rsidR="00394ABC" w:rsidRPr="006D09CD" w:rsidRDefault="007221CE">
            <w:pPr>
              <w:rPr>
                <w:b/>
              </w:rPr>
            </w:pPr>
            <w:r w:rsidRPr="00394ABC">
              <w:rPr>
                <w:b/>
              </w:rPr>
              <w:t>Grade:</w:t>
            </w:r>
          </w:p>
        </w:tc>
        <w:sdt>
          <w:sdtPr>
            <w:alias w:val="Grade"/>
            <w:tag w:val="Grade"/>
            <w:id w:val="-1896804037"/>
            <w:placeholder>
              <w:docPart w:val="65BB29DEB3064DFDABA384B231D64219"/>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39" w:type="pct"/>
                <w:gridSpan w:val="7"/>
                <w:noWrap/>
                <w:hideMark/>
              </w:tcPr>
              <w:p w14:paraId="6F267325" w14:textId="0C433B35" w:rsidR="007221CE" w:rsidRPr="007221CE" w:rsidRDefault="00815AC9" w:rsidP="007221CE">
                <w:r>
                  <w:t>Lead Professional / Technical</w:t>
                </w:r>
              </w:p>
            </w:tc>
          </w:sdtContent>
        </w:sdt>
        <w:tc>
          <w:tcPr>
            <w:tcW w:w="1031" w:type="pct"/>
            <w:noWrap/>
            <w:hideMark/>
          </w:tcPr>
          <w:p w14:paraId="311C34F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E2A80EBF01684B60A442737E0F78939D"/>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697" w:type="pct"/>
                <w:noWrap/>
                <w:hideMark/>
              </w:tcPr>
              <w:p w14:paraId="222908E7" w14:textId="70DBB52D" w:rsidR="007221CE" w:rsidRPr="007221CE" w:rsidRDefault="006E00FE">
                <w:r>
                  <w:t>Financial Regulatory Governance &amp; Treasury</w:t>
                </w:r>
              </w:p>
            </w:tc>
          </w:sdtContent>
        </w:sdt>
      </w:tr>
      <w:tr w:rsidR="002527A6" w:rsidRPr="007221CE" w14:paraId="6FBAC4EC" w14:textId="77777777" w:rsidTr="00915F71">
        <w:trPr>
          <w:trHeight w:val="288"/>
        </w:trPr>
        <w:tc>
          <w:tcPr>
            <w:tcW w:w="733" w:type="pct"/>
            <w:noWrap/>
            <w:hideMark/>
          </w:tcPr>
          <w:p w14:paraId="1A851A6C" w14:textId="77777777" w:rsidR="00394ABC" w:rsidRPr="007221CE" w:rsidRDefault="00394ABC">
            <w:r>
              <w:rPr>
                <w:b/>
                <w:bCs/>
              </w:rPr>
              <w:t xml:space="preserve">Leadership </w:t>
            </w:r>
            <w:r w:rsidR="00352893">
              <w:rPr>
                <w:b/>
                <w:bCs/>
              </w:rPr>
              <w:t>Responsibility</w:t>
            </w:r>
          </w:p>
        </w:tc>
        <w:tc>
          <w:tcPr>
            <w:tcW w:w="401" w:type="pct"/>
            <w:gridSpan w:val="3"/>
            <w:noWrap/>
            <w:hideMark/>
          </w:tcPr>
          <w:p w14:paraId="7F53547B"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p>
        </w:tc>
        <w:tc>
          <w:tcPr>
            <w:tcW w:w="382" w:type="pct"/>
            <w:noWrap/>
            <w:hideMark/>
          </w:tcPr>
          <w:p w14:paraId="3ADCFC2D" w14:textId="324B585B" w:rsidR="00394ABC" w:rsidRPr="007221CE" w:rsidRDefault="006E00FE">
            <w:r>
              <w:t>0</w:t>
            </w:r>
          </w:p>
        </w:tc>
        <w:tc>
          <w:tcPr>
            <w:tcW w:w="418" w:type="pct"/>
            <w:noWrap/>
            <w:hideMark/>
          </w:tcPr>
          <w:p w14:paraId="4AC3302D" w14:textId="77777777" w:rsidR="00394ABC" w:rsidRPr="007221CE" w:rsidRDefault="006D09CD" w:rsidP="006D09CD">
            <w:r w:rsidRPr="006D09CD">
              <w:rPr>
                <w:sz w:val="18"/>
                <w:szCs w:val="18"/>
              </w:rPr>
              <w:t>Indirect Reports:</w:t>
            </w:r>
          </w:p>
        </w:tc>
        <w:tc>
          <w:tcPr>
            <w:tcW w:w="338" w:type="pct"/>
            <w:gridSpan w:val="2"/>
            <w:noWrap/>
          </w:tcPr>
          <w:p w14:paraId="3D1C026B" w14:textId="77777777" w:rsidR="00394ABC" w:rsidRPr="007221CE" w:rsidRDefault="008346D7" w:rsidP="00E0033E">
            <w:r>
              <w:t>0</w:t>
            </w:r>
          </w:p>
        </w:tc>
        <w:tc>
          <w:tcPr>
            <w:tcW w:w="1031" w:type="pct"/>
            <w:noWrap/>
          </w:tcPr>
          <w:p w14:paraId="76959510"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697" w:type="pct"/>
                <w:noWrap/>
              </w:tcPr>
              <w:p w14:paraId="638490FA" w14:textId="77777777" w:rsidR="00394ABC" w:rsidRPr="007221CE" w:rsidRDefault="00860B30" w:rsidP="00860B30">
                <w:r>
                  <w:t>Not Applicable</w:t>
                </w:r>
              </w:p>
            </w:tc>
          </w:sdtContent>
        </w:sdt>
      </w:tr>
      <w:tr w:rsidR="00365EB1" w:rsidRPr="007221CE" w14:paraId="2154399E" w14:textId="77777777" w:rsidTr="00915F71">
        <w:trPr>
          <w:trHeight w:val="810"/>
        </w:trPr>
        <w:tc>
          <w:tcPr>
            <w:tcW w:w="733" w:type="pct"/>
            <w:noWrap/>
            <w:hideMark/>
          </w:tcPr>
          <w:p w14:paraId="6B218678" w14:textId="77777777" w:rsidR="00365EB1" w:rsidRPr="00394ABC" w:rsidRDefault="00365EB1">
            <w:pPr>
              <w:rPr>
                <w:b/>
              </w:rPr>
            </w:pPr>
            <w:r w:rsidRPr="00394ABC">
              <w:rPr>
                <w:b/>
              </w:rPr>
              <w:t>Location:</w:t>
            </w:r>
          </w:p>
        </w:tc>
        <w:tc>
          <w:tcPr>
            <w:tcW w:w="783" w:type="pct"/>
            <w:gridSpan w:val="4"/>
            <w:noWrap/>
            <w:hideMark/>
          </w:tcPr>
          <w:p w14:paraId="0030A9CD" w14:textId="1D5625E5" w:rsidR="00365EB1" w:rsidRPr="007221CE" w:rsidRDefault="00860B30">
            <w:r>
              <w:t>Coventry</w:t>
            </w:r>
            <w:r w:rsidR="006E00FE">
              <w:t xml:space="preserve"> (hybrid)</w:t>
            </w:r>
          </w:p>
        </w:tc>
        <w:tc>
          <w:tcPr>
            <w:tcW w:w="756" w:type="pct"/>
            <w:gridSpan w:val="3"/>
            <w:noWrap/>
            <w:hideMark/>
          </w:tcPr>
          <w:p w14:paraId="65EEC8DB" w14:textId="77777777" w:rsidR="00365EB1" w:rsidRPr="008346D7" w:rsidRDefault="00365EB1">
            <w:pPr>
              <w:rPr>
                <w:b/>
              </w:rPr>
            </w:pPr>
            <w:r w:rsidRPr="008346D7">
              <w:rPr>
                <w:b/>
              </w:rPr>
              <w:t>Working hours:</w:t>
            </w:r>
          </w:p>
        </w:tc>
        <w:tc>
          <w:tcPr>
            <w:tcW w:w="2728" w:type="pct"/>
            <w:gridSpan w:val="2"/>
          </w:tcPr>
          <w:p w14:paraId="4D3264DC" w14:textId="269DD962" w:rsidR="00860B30" w:rsidRPr="007221CE" w:rsidRDefault="006E00FE" w:rsidP="00C96F65">
            <w:r>
              <w:t>35 hours per week</w:t>
            </w:r>
          </w:p>
        </w:tc>
      </w:tr>
      <w:tr w:rsidR="007221CE" w:rsidRPr="007221CE" w14:paraId="4327C701" w14:textId="77777777" w:rsidTr="00352893">
        <w:trPr>
          <w:trHeight w:val="288"/>
        </w:trPr>
        <w:tc>
          <w:tcPr>
            <w:tcW w:w="5000" w:type="pct"/>
            <w:gridSpan w:val="10"/>
            <w:noWrap/>
            <w:hideMark/>
          </w:tcPr>
          <w:p w14:paraId="3733393E" w14:textId="77777777" w:rsidR="007221CE" w:rsidRPr="007221CE" w:rsidRDefault="007221CE">
            <w:r w:rsidRPr="007221CE">
              <w:rPr>
                <w:b/>
                <w:bCs/>
              </w:rPr>
              <w:t>ABOUT THE ROLE</w:t>
            </w:r>
            <w:r w:rsidRPr="007221CE">
              <w:t xml:space="preserve"> </w:t>
            </w:r>
          </w:p>
        </w:tc>
      </w:tr>
      <w:tr w:rsidR="007221CE" w:rsidRPr="007221CE" w14:paraId="5435987C" w14:textId="77777777" w:rsidTr="006E00FE">
        <w:trPr>
          <w:trHeight w:val="53"/>
        </w:trPr>
        <w:tc>
          <w:tcPr>
            <w:tcW w:w="5000" w:type="pct"/>
            <w:gridSpan w:val="10"/>
            <w:hideMark/>
          </w:tcPr>
          <w:p w14:paraId="31546C29" w14:textId="77777777" w:rsidR="00D3526E" w:rsidRDefault="006E00FE" w:rsidP="006E00FE">
            <w:pPr>
              <w:rPr>
                <w:rFonts w:ascii="Calibri" w:hAnsi="Calibri" w:cs="Arial"/>
                <w:lang w:eastAsia="en-GB"/>
              </w:rPr>
            </w:pPr>
            <w:r w:rsidRPr="006E00FE">
              <w:rPr>
                <w:rFonts w:ascii="Calibri" w:hAnsi="Calibri" w:cs="Arial"/>
                <w:lang w:eastAsia="en-GB"/>
              </w:rPr>
              <w:t>This role</w:t>
            </w:r>
            <w:r w:rsidR="00D3526E">
              <w:rPr>
                <w:rFonts w:ascii="Calibri" w:hAnsi="Calibri" w:cs="Arial"/>
                <w:lang w:eastAsia="en-GB"/>
              </w:rPr>
              <w:t xml:space="preserve"> is for a 12-month Fixed Term Contract and</w:t>
            </w:r>
            <w:r w:rsidRPr="006E00FE">
              <w:rPr>
                <w:rFonts w:ascii="Calibri" w:hAnsi="Calibri" w:cs="Arial"/>
                <w:lang w:eastAsia="en-GB"/>
              </w:rPr>
              <w:t xml:space="preserve"> sits within the Financial and Model (FaM) Risk Team, an Independent 2nd line risk function which reports directly to the Chief Risk Officer. This is a technical role with no line management responsibilities</w:t>
            </w:r>
            <w:r w:rsidR="00607D78">
              <w:rPr>
                <w:rFonts w:ascii="Calibri" w:hAnsi="Calibri" w:cs="Arial"/>
                <w:lang w:eastAsia="en-GB"/>
              </w:rPr>
              <w:t>, reporting to the Head of Financial and Model Risk.</w:t>
            </w:r>
            <w:r w:rsidRPr="006E00FE">
              <w:rPr>
                <w:rFonts w:ascii="Calibri" w:hAnsi="Calibri" w:cs="Arial"/>
                <w:lang w:eastAsia="en-GB"/>
              </w:rPr>
              <w:t xml:space="preserve"> </w:t>
            </w:r>
          </w:p>
          <w:p w14:paraId="62F3B08F" w14:textId="77777777" w:rsidR="00D3526E" w:rsidRDefault="00D3526E" w:rsidP="006E00FE">
            <w:pPr>
              <w:rPr>
                <w:rFonts w:ascii="Calibri" w:hAnsi="Calibri" w:cs="Arial"/>
                <w:lang w:eastAsia="en-GB"/>
              </w:rPr>
            </w:pPr>
          </w:p>
          <w:p w14:paraId="29F59C39" w14:textId="052BA61A" w:rsidR="006E00FE" w:rsidRPr="006E00FE" w:rsidRDefault="006E00FE" w:rsidP="006E00FE">
            <w:pPr>
              <w:rPr>
                <w:rFonts w:ascii="Calibri" w:hAnsi="Calibri" w:cs="Arial"/>
                <w:lang w:eastAsia="en-GB"/>
              </w:rPr>
            </w:pPr>
            <w:r w:rsidRPr="006E00FE">
              <w:rPr>
                <w:rFonts w:ascii="Calibri" w:hAnsi="Calibri" w:cs="Arial"/>
                <w:lang w:eastAsia="en-GB"/>
              </w:rPr>
              <w:t xml:space="preserve">The individual will support FaM in their </w:t>
            </w:r>
            <w:r w:rsidR="00D3526E">
              <w:rPr>
                <w:rFonts w:ascii="Calibri" w:hAnsi="Calibri" w:cs="Arial"/>
                <w:lang w:eastAsia="en-GB"/>
              </w:rPr>
              <w:t xml:space="preserve">integration activities, including </w:t>
            </w:r>
            <w:r w:rsidRPr="006E00FE">
              <w:rPr>
                <w:rFonts w:ascii="Calibri" w:hAnsi="Calibri" w:cs="Arial"/>
                <w:lang w:eastAsia="en-GB"/>
              </w:rPr>
              <w:t>independent oversight of</w:t>
            </w:r>
            <w:r w:rsidR="0015624E">
              <w:rPr>
                <w:rFonts w:ascii="Calibri" w:hAnsi="Calibri" w:cs="Arial"/>
                <w:lang w:eastAsia="en-GB"/>
              </w:rPr>
              <w:t xml:space="preserve"> the Group</w:t>
            </w:r>
            <w:r w:rsidR="007C6655">
              <w:rPr>
                <w:rFonts w:ascii="Calibri" w:hAnsi="Calibri" w:cs="Arial"/>
                <w:lang w:eastAsia="en-GB"/>
              </w:rPr>
              <w:t xml:space="preserve"> </w:t>
            </w:r>
            <w:r w:rsidRPr="006E00FE">
              <w:rPr>
                <w:rFonts w:ascii="Calibri" w:hAnsi="Calibri" w:cs="Arial"/>
                <w:lang w:eastAsia="en-GB"/>
              </w:rPr>
              <w:t xml:space="preserve">key </w:t>
            </w:r>
            <w:r w:rsidR="00607D78">
              <w:rPr>
                <w:rFonts w:ascii="Calibri" w:hAnsi="Calibri" w:cs="Arial"/>
                <w:lang w:eastAsia="en-GB"/>
              </w:rPr>
              <w:t>p</w:t>
            </w:r>
            <w:r w:rsidRPr="006E00FE">
              <w:rPr>
                <w:rFonts w:ascii="Calibri" w:hAnsi="Calibri" w:cs="Arial"/>
                <w:lang w:eastAsia="en-GB"/>
              </w:rPr>
              <w:t xml:space="preserve">rudential, </w:t>
            </w:r>
            <w:r w:rsidR="00607D78">
              <w:rPr>
                <w:rFonts w:ascii="Calibri" w:hAnsi="Calibri" w:cs="Arial"/>
                <w:lang w:eastAsia="en-GB"/>
              </w:rPr>
              <w:t>f</w:t>
            </w:r>
            <w:r w:rsidR="00607D78" w:rsidRPr="006E00FE">
              <w:rPr>
                <w:rFonts w:ascii="Calibri" w:hAnsi="Calibri" w:cs="Arial"/>
                <w:lang w:eastAsia="en-GB"/>
              </w:rPr>
              <w:t>inancial,</w:t>
            </w:r>
            <w:r w:rsidRPr="006E00FE">
              <w:rPr>
                <w:rFonts w:ascii="Calibri" w:hAnsi="Calibri" w:cs="Arial"/>
                <w:lang w:eastAsia="en-GB"/>
              </w:rPr>
              <w:t xml:space="preserve"> and </w:t>
            </w:r>
            <w:r w:rsidR="00607D78">
              <w:rPr>
                <w:rFonts w:ascii="Calibri" w:hAnsi="Calibri" w:cs="Arial"/>
                <w:lang w:eastAsia="en-GB"/>
              </w:rPr>
              <w:t>s</w:t>
            </w:r>
            <w:r w:rsidRPr="006E00FE">
              <w:rPr>
                <w:rFonts w:ascii="Calibri" w:hAnsi="Calibri" w:cs="Arial"/>
                <w:lang w:eastAsia="en-GB"/>
              </w:rPr>
              <w:t>trategic risks, and provide support with model risk and validation activities as required. They will work closely with the</w:t>
            </w:r>
            <w:r w:rsidR="00D3526E">
              <w:rPr>
                <w:rFonts w:ascii="Calibri" w:hAnsi="Calibri" w:cs="Arial"/>
                <w:lang w:eastAsia="en-GB"/>
              </w:rPr>
              <w:t xml:space="preserve"> Head of Model Risk Management &amp; Validation,</w:t>
            </w:r>
            <w:r w:rsidRPr="006E00FE">
              <w:rPr>
                <w:rFonts w:ascii="Calibri" w:hAnsi="Calibri" w:cs="Arial"/>
                <w:lang w:eastAsia="en-GB"/>
              </w:rPr>
              <w:t xml:space="preserve"> Capital Risk Lead and Senior Prudential Risk Manager on a day-to-day basis.</w:t>
            </w:r>
          </w:p>
          <w:p w14:paraId="4E76FC77" w14:textId="77777777" w:rsidR="006E00FE" w:rsidRPr="006E00FE" w:rsidRDefault="006E00FE" w:rsidP="006E00FE">
            <w:pPr>
              <w:rPr>
                <w:rFonts w:ascii="Calibri" w:hAnsi="Calibri" w:cs="Arial"/>
                <w:lang w:eastAsia="en-GB"/>
              </w:rPr>
            </w:pPr>
          </w:p>
          <w:p w14:paraId="45C03F31" w14:textId="77777777" w:rsidR="006E00FE" w:rsidRPr="006E00FE" w:rsidRDefault="006E00FE" w:rsidP="006E00FE">
            <w:pPr>
              <w:rPr>
                <w:rFonts w:ascii="Calibri" w:hAnsi="Calibri" w:cs="Arial"/>
                <w:lang w:eastAsia="en-GB"/>
              </w:rPr>
            </w:pPr>
            <w:r w:rsidRPr="006E00FE">
              <w:rPr>
                <w:rFonts w:ascii="Calibri" w:hAnsi="Calibri" w:cs="Arial"/>
                <w:lang w:eastAsia="en-GB"/>
              </w:rPr>
              <w:t>FaM are a trusted advisor and critical friend to the 1st line of defence. Our key purpose is to enable the business to make effective risk-based decisions, considering the prudential regulatory framework and underpinned by robust controls and governance.</w:t>
            </w:r>
          </w:p>
          <w:p w14:paraId="7B450C18" w14:textId="77777777" w:rsidR="006E00FE" w:rsidRPr="006E00FE" w:rsidRDefault="006E00FE" w:rsidP="006E00FE">
            <w:pPr>
              <w:rPr>
                <w:rFonts w:ascii="Calibri" w:hAnsi="Calibri" w:cs="Arial"/>
                <w:lang w:eastAsia="en-GB"/>
              </w:rPr>
            </w:pPr>
          </w:p>
          <w:p w14:paraId="22EDF7FF" w14:textId="44A498FA" w:rsidR="006E00FE" w:rsidRPr="006E00FE" w:rsidRDefault="006E00FE" w:rsidP="006E00FE">
            <w:pPr>
              <w:rPr>
                <w:rFonts w:ascii="Calibri" w:hAnsi="Calibri" w:cs="Arial"/>
                <w:lang w:eastAsia="en-GB"/>
              </w:rPr>
            </w:pPr>
            <w:r w:rsidRPr="006E00FE">
              <w:rPr>
                <w:rFonts w:ascii="Calibri" w:hAnsi="Calibri" w:cs="Arial"/>
                <w:lang w:eastAsia="en-GB"/>
              </w:rPr>
              <w:t>The role holder is expected to take a key role in performing 2nd line oversight of</w:t>
            </w:r>
            <w:r w:rsidR="0015624E">
              <w:rPr>
                <w:rFonts w:ascii="Calibri" w:hAnsi="Calibri" w:cs="Arial"/>
                <w:lang w:eastAsia="en-GB"/>
              </w:rPr>
              <w:t xml:space="preserve"> Group</w:t>
            </w:r>
            <w:r w:rsidRPr="006E00FE">
              <w:rPr>
                <w:rFonts w:ascii="Calibri" w:hAnsi="Calibri" w:cs="Arial"/>
                <w:lang w:eastAsia="en-GB"/>
              </w:rPr>
              <w:t xml:space="preserve"> liquidity, market, and capital risks and present results to Senior Management and/or Executives as appropriate. </w:t>
            </w:r>
          </w:p>
          <w:p w14:paraId="1E4FAE1B" w14:textId="77777777" w:rsidR="006E00FE" w:rsidRPr="006E00FE" w:rsidRDefault="006E00FE" w:rsidP="006E00FE">
            <w:pPr>
              <w:rPr>
                <w:rFonts w:ascii="Calibri" w:hAnsi="Calibri" w:cs="Arial"/>
                <w:lang w:eastAsia="en-GB"/>
              </w:rPr>
            </w:pPr>
          </w:p>
          <w:p w14:paraId="71D70BAF" w14:textId="77777777" w:rsidR="006E00FE" w:rsidRPr="0015624E" w:rsidRDefault="006E00FE" w:rsidP="006E00FE">
            <w:pPr>
              <w:rPr>
                <w:rFonts w:ascii="Calibri" w:hAnsi="Calibri" w:cs="Arial"/>
                <w:lang w:eastAsia="en-GB"/>
              </w:rPr>
            </w:pPr>
            <w:r w:rsidRPr="0015624E">
              <w:rPr>
                <w:rFonts w:ascii="Calibri" w:hAnsi="Calibri" w:cs="Arial"/>
                <w:lang w:eastAsia="en-GB"/>
              </w:rPr>
              <w:t>Key responsibilities include:</w:t>
            </w:r>
          </w:p>
          <w:p w14:paraId="1F6B5E2C" w14:textId="77777777" w:rsidR="0015624E" w:rsidRPr="0015624E" w:rsidRDefault="0015624E" w:rsidP="006E00FE">
            <w:pPr>
              <w:pStyle w:val="ListParagraph"/>
              <w:numPr>
                <w:ilvl w:val="0"/>
                <w:numId w:val="18"/>
              </w:numPr>
              <w:rPr>
                <w:rFonts w:ascii="Calibri" w:hAnsi="Calibri" w:cs="Arial"/>
                <w:lang w:eastAsia="en-GB"/>
              </w:rPr>
            </w:pPr>
            <w:r w:rsidRPr="0015624E">
              <w:rPr>
                <w:rFonts w:ascii="Calibri" w:hAnsi="Calibri" w:cs="Arial"/>
                <w:lang w:eastAsia="en-GB"/>
              </w:rPr>
              <w:t xml:space="preserve">Leading the integration activity for aspects of Prudential and Model Risk, </w:t>
            </w:r>
            <w:r>
              <w:rPr>
                <w:rFonts w:ascii="Calibri" w:hAnsi="Calibri" w:cs="Arial"/>
                <w:lang w:eastAsia="en-GB"/>
              </w:rPr>
              <w:t xml:space="preserve">especially related to </w:t>
            </w:r>
            <w:r>
              <w:t>Financial/Prudential Risk and Treasury/Finance related models.</w:t>
            </w:r>
          </w:p>
          <w:p w14:paraId="74554EBC" w14:textId="6D37E1EC" w:rsidR="0015624E" w:rsidRPr="0015624E" w:rsidRDefault="0015624E" w:rsidP="0015624E">
            <w:pPr>
              <w:pStyle w:val="ListParagraph"/>
              <w:numPr>
                <w:ilvl w:val="0"/>
                <w:numId w:val="18"/>
              </w:numPr>
              <w:rPr>
                <w:rFonts w:ascii="Calibri" w:hAnsi="Calibri" w:cs="Arial"/>
                <w:lang w:eastAsia="en-GB"/>
              </w:rPr>
            </w:pPr>
            <w:r>
              <w:t xml:space="preserve">Leading the independent validation and verification activities for </w:t>
            </w:r>
            <w:r w:rsidR="006B708C">
              <w:rPr>
                <w:rFonts w:ascii="Calibri" w:hAnsi="Calibri" w:cs="Arial"/>
                <w:lang w:eastAsia="en-GB"/>
              </w:rPr>
              <w:t>Treasury and Finance related models</w:t>
            </w:r>
            <w:r w:rsidR="006B708C">
              <w:t xml:space="preserve"> </w:t>
            </w:r>
            <w:r>
              <w:t>several</w:t>
            </w:r>
            <w:r w:rsidR="006B708C">
              <w:t>,</w:t>
            </w:r>
            <w:r>
              <w:t xml:space="preserve"> including</w:t>
            </w:r>
            <w:r w:rsidRPr="0015624E">
              <w:rPr>
                <w:rFonts w:ascii="Calibri" w:hAnsi="Calibri" w:cs="Arial"/>
                <w:lang w:eastAsia="en-GB"/>
              </w:rPr>
              <w:t xml:space="preserve"> the alignment of </w:t>
            </w:r>
            <w:r>
              <w:rPr>
                <w:rFonts w:ascii="Calibri" w:hAnsi="Calibri" w:cs="Arial"/>
                <w:lang w:eastAsia="en-GB"/>
              </w:rPr>
              <w:t>validation and verification processes.</w:t>
            </w:r>
          </w:p>
          <w:p w14:paraId="61E83C85" w14:textId="605EAE37" w:rsidR="006E00FE" w:rsidRPr="0015624E" w:rsidRDefault="0015624E" w:rsidP="006E00FE">
            <w:pPr>
              <w:pStyle w:val="ListParagraph"/>
              <w:numPr>
                <w:ilvl w:val="0"/>
                <w:numId w:val="18"/>
              </w:numPr>
              <w:rPr>
                <w:rFonts w:ascii="Calibri" w:hAnsi="Calibri" w:cs="Arial"/>
                <w:lang w:eastAsia="en-GB"/>
              </w:rPr>
            </w:pPr>
            <w:r>
              <w:rPr>
                <w:rFonts w:ascii="Calibri" w:hAnsi="Calibri" w:cs="Arial"/>
                <w:lang w:eastAsia="en-GB"/>
              </w:rPr>
              <w:t xml:space="preserve">Providing technical expertise and thought leadership in </w:t>
            </w:r>
            <w:r w:rsidR="006E00FE" w:rsidRPr="0015624E">
              <w:rPr>
                <w:rFonts w:ascii="Calibri" w:hAnsi="Calibri" w:cs="Arial"/>
                <w:lang w:eastAsia="en-GB"/>
              </w:rPr>
              <w:t>2nd line’s assessment of the</w:t>
            </w:r>
            <w:r w:rsidRPr="0015624E">
              <w:rPr>
                <w:rFonts w:ascii="Calibri" w:hAnsi="Calibri" w:cs="Arial"/>
                <w:lang w:eastAsia="en-GB"/>
              </w:rPr>
              <w:t xml:space="preserve"> Group</w:t>
            </w:r>
            <w:r w:rsidR="006E00FE" w:rsidRPr="0015624E">
              <w:rPr>
                <w:rFonts w:ascii="Calibri" w:hAnsi="Calibri" w:cs="Arial"/>
                <w:lang w:eastAsia="en-GB"/>
              </w:rPr>
              <w:t xml:space="preserve"> ILAAP (inc. funding plan) and </w:t>
            </w:r>
            <w:r w:rsidRPr="0015624E">
              <w:rPr>
                <w:rFonts w:ascii="Calibri" w:hAnsi="Calibri" w:cs="Arial"/>
                <w:lang w:eastAsia="en-GB"/>
              </w:rPr>
              <w:t xml:space="preserve">Group </w:t>
            </w:r>
            <w:r w:rsidR="006E00FE" w:rsidRPr="0015624E">
              <w:rPr>
                <w:rFonts w:ascii="Calibri" w:hAnsi="Calibri" w:cs="Arial"/>
                <w:lang w:eastAsia="en-GB"/>
              </w:rPr>
              <w:t>ICAAP</w:t>
            </w:r>
          </w:p>
          <w:p w14:paraId="2566B593" w14:textId="3AD40090" w:rsidR="006E00FE" w:rsidRPr="00B71859" w:rsidRDefault="006E00FE" w:rsidP="006E00FE">
            <w:pPr>
              <w:pStyle w:val="ListParagraph"/>
              <w:numPr>
                <w:ilvl w:val="0"/>
                <w:numId w:val="18"/>
              </w:numPr>
              <w:rPr>
                <w:rFonts w:ascii="Calibri" w:hAnsi="Calibri" w:cs="Arial"/>
                <w:lang w:eastAsia="en-GB"/>
              </w:rPr>
            </w:pPr>
            <w:r w:rsidRPr="00B71859">
              <w:rPr>
                <w:rFonts w:ascii="Calibri" w:hAnsi="Calibri" w:cs="Arial"/>
                <w:lang w:eastAsia="en-GB"/>
              </w:rPr>
              <w:t xml:space="preserve">playing a key role in 2nd line’s oversight of </w:t>
            </w:r>
            <w:r w:rsidR="00B71859" w:rsidRPr="00B71859">
              <w:rPr>
                <w:rFonts w:ascii="Calibri" w:hAnsi="Calibri" w:cs="Arial"/>
                <w:lang w:eastAsia="en-GB"/>
              </w:rPr>
              <w:t xml:space="preserve">Group </w:t>
            </w:r>
            <w:r w:rsidRPr="00B71859">
              <w:rPr>
                <w:rFonts w:ascii="Calibri" w:hAnsi="Calibri" w:cs="Arial"/>
                <w:lang w:eastAsia="en-GB"/>
              </w:rPr>
              <w:t>market risk including IRRBB, CSRBB and FX Risk</w:t>
            </w:r>
          </w:p>
          <w:p w14:paraId="70509A85" w14:textId="3CE3FA89" w:rsidR="006E00FE" w:rsidRPr="00B71859" w:rsidRDefault="006E00FE" w:rsidP="006E00FE">
            <w:pPr>
              <w:pStyle w:val="ListParagraph"/>
              <w:numPr>
                <w:ilvl w:val="0"/>
                <w:numId w:val="18"/>
              </w:numPr>
              <w:rPr>
                <w:rFonts w:ascii="Calibri" w:hAnsi="Calibri" w:cs="Arial"/>
                <w:lang w:eastAsia="en-GB"/>
              </w:rPr>
            </w:pPr>
            <w:r w:rsidRPr="00B71859">
              <w:rPr>
                <w:rFonts w:ascii="Calibri" w:hAnsi="Calibri" w:cs="Arial"/>
                <w:lang w:eastAsia="en-GB"/>
              </w:rPr>
              <w:t xml:space="preserve">reviewing and writing papers for key </w:t>
            </w:r>
            <w:r w:rsidR="007C6655">
              <w:rPr>
                <w:rFonts w:ascii="Calibri" w:hAnsi="Calibri" w:cs="Arial"/>
                <w:lang w:eastAsia="en-GB"/>
              </w:rPr>
              <w:t xml:space="preserve">Group </w:t>
            </w:r>
            <w:r w:rsidRPr="00B71859">
              <w:rPr>
                <w:rFonts w:ascii="Calibri" w:hAnsi="Calibri" w:cs="Arial"/>
                <w:lang w:eastAsia="en-GB"/>
              </w:rPr>
              <w:t>committees such</w:t>
            </w:r>
            <w:r w:rsidR="007C6655">
              <w:rPr>
                <w:rFonts w:ascii="Calibri" w:hAnsi="Calibri" w:cs="Arial"/>
                <w:lang w:eastAsia="en-GB"/>
              </w:rPr>
              <w:t xml:space="preserve"> as</w:t>
            </w:r>
            <w:r w:rsidRPr="00B71859">
              <w:rPr>
                <w:rFonts w:ascii="Calibri" w:hAnsi="Calibri" w:cs="Arial"/>
                <w:lang w:eastAsia="en-GB"/>
              </w:rPr>
              <w:t xml:space="preserve"> ALCo</w:t>
            </w:r>
          </w:p>
          <w:p w14:paraId="5F44E384" w14:textId="28E6DEA8" w:rsidR="006E00FE" w:rsidRPr="007C6655" w:rsidRDefault="006E00FE" w:rsidP="006E00FE">
            <w:pPr>
              <w:pStyle w:val="ListParagraph"/>
              <w:numPr>
                <w:ilvl w:val="0"/>
                <w:numId w:val="18"/>
              </w:numPr>
              <w:rPr>
                <w:rFonts w:ascii="Calibri" w:hAnsi="Calibri" w:cs="Arial"/>
                <w:lang w:eastAsia="en-GB"/>
              </w:rPr>
            </w:pPr>
            <w:r w:rsidRPr="007C6655">
              <w:rPr>
                <w:rFonts w:ascii="Calibri" w:hAnsi="Calibri" w:cs="Arial"/>
                <w:lang w:eastAsia="en-GB"/>
              </w:rPr>
              <w:t xml:space="preserve">providing independent oversight and challenge of the </w:t>
            </w:r>
            <w:r w:rsidR="007C6655" w:rsidRPr="007C6655">
              <w:rPr>
                <w:rFonts w:ascii="Calibri" w:hAnsi="Calibri" w:cs="Arial"/>
                <w:lang w:eastAsia="en-GB"/>
              </w:rPr>
              <w:t>Group</w:t>
            </w:r>
            <w:r w:rsidRPr="007C6655">
              <w:rPr>
                <w:rFonts w:ascii="Calibri" w:hAnsi="Calibri" w:cs="Arial"/>
                <w:lang w:eastAsia="en-GB"/>
              </w:rPr>
              <w:t>’s liquidity, funding, capital, and market risk reporting</w:t>
            </w:r>
            <w:r w:rsidR="007C6655">
              <w:rPr>
                <w:rFonts w:ascii="Calibri" w:hAnsi="Calibri" w:cs="Arial"/>
                <w:lang w:eastAsia="en-GB"/>
              </w:rPr>
              <w:t xml:space="preserve">, escalating as appropriate. </w:t>
            </w:r>
          </w:p>
          <w:p w14:paraId="70D91AE3" w14:textId="73051EB7" w:rsidR="006E00FE" w:rsidRPr="00030BAD" w:rsidRDefault="006E00FE" w:rsidP="006E00FE">
            <w:pPr>
              <w:pStyle w:val="ListParagraph"/>
              <w:numPr>
                <w:ilvl w:val="0"/>
                <w:numId w:val="18"/>
              </w:numPr>
              <w:rPr>
                <w:rFonts w:ascii="Calibri" w:hAnsi="Calibri" w:cs="Arial"/>
                <w:lang w:eastAsia="en-GB"/>
              </w:rPr>
            </w:pPr>
            <w:r w:rsidRPr="00030BAD">
              <w:rPr>
                <w:rFonts w:ascii="Calibri" w:hAnsi="Calibri" w:cs="Arial"/>
                <w:lang w:eastAsia="en-GB"/>
              </w:rPr>
              <w:t xml:space="preserve">working with the business to ensure efficient and risk-based deployment of the </w:t>
            </w:r>
            <w:r w:rsidR="00030BAD" w:rsidRPr="00030BAD">
              <w:rPr>
                <w:rFonts w:ascii="Calibri" w:hAnsi="Calibri" w:cs="Arial"/>
                <w:lang w:eastAsia="en-GB"/>
              </w:rPr>
              <w:t>Group</w:t>
            </w:r>
            <w:r w:rsidRPr="00030BAD">
              <w:rPr>
                <w:rFonts w:ascii="Calibri" w:hAnsi="Calibri" w:cs="Arial"/>
                <w:lang w:eastAsia="en-GB"/>
              </w:rPr>
              <w:t>’s liquidity and capital resources, and the capital and funding structure</w:t>
            </w:r>
            <w:r w:rsidR="00030BAD">
              <w:rPr>
                <w:rFonts w:ascii="Calibri" w:hAnsi="Calibri" w:cs="Arial"/>
                <w:lang w:eastAsia="en-GB"/>
              </w:rPr>
              <w:t>.</w:t>
            </w:r>
          </w:p>
          <w:p w14:paraId="53E971CC" w14:textId="2C066118" w:rsidR="006E00FE" w:rsidRPr="00D06966" w:rsidRDefault="006E00FE" w:rsidP="006E00FE">
            <w:pPr>
              <w:pStyle w:val="ListParagraph"/>
              <w:numPr>
                <w:ilvl w:val="0"/>
                <w:numId w:val="18"/>
              </w:numPr>
              <w:rPr>
                <w:rFonts w:ascii="Calibri" w:hAnsi="Calibri" w:cs="Arial"/>
                <w:lang w:eastAsia="en-GB"/>
              </w:rPr>
            </w:pPr>
            <w:r w:rsidRPr="00030BAD">
              <w:rPr>
                <w:rFonts w:ascii="Calibri" w:hAnsi="Calibri" w:cs="Arial"/>
                <w:lang w:eastAsia="en-GB"/>
              </w:rPr>
              <w:t xml:space="preserve">providing </w:t>
            </w:r>
            <w:r w:rsidR="00D06966">
              <w:rPr>
                <w:rFonts w:ascii="Calibri" w:hAnsi="Calibri" w:cs="Arial"/>
                <w:lang w:eastAsia="en-GB"/>
              </w:rPr>
              <w:t>thought leadership</w:t>
            </w:r>
            <w:r w:rsidRPr="00030BAD">
              <w:rPr>
                <w:rFonts w:ascii="Calibri" w:hAnsi="Calibri" w:cs="Arial"/>
                <w:lang w:eastAsia="en-GB"/>
              </w:rPr>
              <w:t xml:space="preserve"> into the capital, liquidity, and market risk appetite</w:t>
            </w:r>
            <w:r w:rsidRPr="00D06966">
              <w:rPr>
                <w:rFonts w:ascii="Calibri" w:hAnsi="Calibri" w:cs="Arial"/>
                <w:lang w:eastAsia="en-GB"/>
              </w:rPr>
              <w:t xml:space="preserve"> setting exercise, the calibration and limits and early-warning-indicators (EWIs) and relevant policies</w:t>
            </w:r>
          </w:p>
          <w:p w14:paraId="7B3A91A6" w14:textId="77777777" w:rsidR="006B708C" w:rsidRPr="006B708C" w:rsidRDefault="006B708C" w:rsidP="006B708C">
            <w:pPr>
              <w:pStyle w:val="ListParagraph"/>
              <w:ind w:left="1080"/>
              <w:rPr>
                <w:rFonts w:ascii="Calibri" w:hAnsi="Calibri" w:cs="Arial"/>
                <w:lang w:eastAsia="en-GB"/>
              </w:rPr>
            </w:pPr>
          </w:p>
          <w:p w14:paraId="6AB096F1" w14:textId="77777777" w:rsidR="006E00FE" w:rsidRPr="006E00FE" w:rsidRDefault="006E00FE" w:rsidP="006E00FE">
            <w:pPr>
              <w:rPr>
                <w:rFonts w:ascii="Calibri" w:hAnsi="Calibri" w:cs="Arial"/>
                <w:lang w:eastAsia="en-GB"/>
              </w:rPr>
            </w:pPr>
            <w:r w:rsidRPr="006B708C">
              <w:rPr>
                <w:rFonts w:ascii="Calibri" w:hAnsi="Calibri" w:cs="Arial"/>
                <w:lang w:eastAsia="en-GB"/>
              </w:rPr>
              <w:t>The role will also be expected to support the wider team in providing effective risk oversight of other Treasury Credit and Model Risks.</w:t>
            </w:r>
          </w:p>
          <w:p w14:paraId="139B8654" w14:textId="77777777" w:rsidR="006E00FE" w:rsidRPr="006E00FE" w:rsidRDefault="006E00FE" w:rsidP="006E00FE">
            <w:pPr>
              <w:rPr>
                <w:rFonts w:ascii="Calibri" w:hAnsi="Calibri" w:cs="Arial"/>
                <w:lang w:eastAsia="en-GB"/>
              </w:rPr>
            </w:pPr>
          </w:p>
          <w:p w14:paraId="1B697CE7" w14:textId="3EF58D26" w:rsidR="00757056" w:rsidRDefault="006E00FE" w:rsidP="007C4800">
            <w:pPr>
              <w:rPr>
                <w:rFonts w:ascii="Calibri" w:hAnsi="Calibri" w:cs="Arial"/>
                <w:lang w:eastAsia="en-GB"/>
              </w:rPr>
            </w:pPr>
            <w:r w:rsidRPr="006E00FE">
              <w:rPr>
                <w:rFonts w:ascii="Calibri" w:hAnsi="Calibri" w:cs="Arial"/>
                <w:lang w:eastAsia="en-GB"/>
              </w:rPr>
              <w:t>The role requires the development of effective working relationships with key stakeholders across Risk, Finance, Treasury, Credit, and Product teams, and to work in a co-operative and constructively challenging manner, in order to promote best in class approaches to the management of the Society’s financial and prudential risks.</w:t>
            </w:r>
          </w:p>
          <w:p w14:paraId="6D34C6E4" w14:textId="77777777" w:rsidR="006E00FE" w:rsidRPr="006E00FE" w:rsidRDefault="006E00FE" w:rsidP="007C4800">
            <w:pPr>
              <w:rPr>
                <w:rFonts w:ascii="Calibri" w:hAnsi="Calibri" w:cs="Arial"/>
                <w:lang w:eastAsia="en-GB"/>
              </w:rPr>
            </w:pPr>
          </w:p>
          <w:p w14:paraId="38E97898" w14:textId="77777777" w:rsidR="00757056" w:rsidRDefault="00757056" w:rsidP="007C4800"/>
          <w:p w14:paraId="6FC42E6A" w14:textId="77777777" w:rsidR="00757056" w:rsidRPr="007221CE" w:rsidRDefault="00757056" w:rsidP="007C4800"/>
        </w:tc>
      </w:tr>
      <w:tr w:rsidR="007221CE" w:rsidRPr="007221CE" w14:paraId="389E941A" w14:textId="77777777" w:rsidTr="00352893">
        <w:trPr>
          <w:trHeight w:val="288"/>
        </w:trPr>
        <w:tc>
          <w:tcPr>
            <w:tcW w:w="5000" w:type="pct"/>
            <w:gridSpan w:val="10"/>
            <w:noWrap/>
            <w:hideMark/>
          </w:tcPr>
          <w:p w14:paraId="2727B02E" w14:textId="77777777" w:rsidR="007221CE" w:rsidRPr="007221CE" w:rsidRDefault="007221CE">
            <w:r w:rsidRPr="007221CE">
              <w:rPr>
                <w:b/>
                <w:bCs/>
              </w:rPr>
              <w:t>ABOUT YOU</w:t>
            </w:r>
            <w:r w:rsidRPr="007221CE">
              <w:t xml:space="preserve"> </w:t>
            </w:r>
          </w:p>
        </w:tc>
      </w:tr>
      <w:tr w:rsidR="007221CE" w:rsidRPr="007221CE" w14:paraId="204F5538" w14:textId="77777777" w:rsidTr="00E80DF4">
        <w:trPr>
          <w:trHeight w:val="2109"/>
        </w:trPr>
        <w:tc>
          <w:tcPr>
            <w:tcW w:w="5000" w:type="pct"/>
            <w:gridSpan w:val="10"/>
            <w:hideMark/>
          </w:tcPr>
          <w:p w14:paraId="2EB9C493" w14:textId="77777777" w:rsidR="006E00FE" w:rsidRPr="006B708C" w:rsidRDefault="006E00FE" w:rsidP="006E00FE">
            <w:pPr>
              <w:rPr>
                <w:rFonts w:ascii="Calibri" w:hAnsi="Calibri" w:cs="Arial"/>
                <w:lang w:eastAsia="en-GB"/>
              </w:rPr>
            </w:pPr>
            <w:r w:rsidRPr="006B708C">
              <w:rPr>
                <w:rFonts w:ascii="Calibri" w:hAnsi="Calibri" w:cs="Arial"/>
                <w:lang w:eastAsia="en-GB"/>
              </w:rPr>
              <w:lastRenderedPageBreak/>
              <w:t>You will have the confidence and ability to independently review, assess and comment on:</w:t>
            </w:r>
          </w:p>
          <w:p w14:paraId="27B70AC1" w14:textId="57D924E4"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 xml:space="preserve">the </w:t>
            </w:r>
            <w:r w:rsidR="006B708C" w:rsidRPr="006B708C">
              <w:rPr>
                <w:rFonts w:ascii="Calibri" w:hAnsi="Calibri" w:cs="Arial"/>
                <w:lang w:eastAsia="en-GB"/>
              </w:rPr>
              <w:t>Group</w:t>
            </w:r>
            <w:r w:rsidRPr="006B708C">
              <w:rPr>
                <w:rFonts w:ascii="Calibri" w:hAnsi="Calibri" w:cs="Arial"/>
                <w:lang w:eastAsia="en-GB"/>
              </w:rPr>
              <w:t>’s approach to measuring, monitoring, and mitigating liquidity, capital and market risks</w:t>
            </w:r>
          </w:p>
          <w:p w14:paraId="34244F4D" w14:textId="77777777"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the sufficiency of actual and forecast capital and liquidity</w:t>
            </w:r>
          </w:p>
          <w:p w14:paraId="700317DC" w14:textId="6D42E542"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 xml:space="preserve">the </w:t>
            </w:r>
            <w:r w:rsidR="006B708C" w:rsidRPr="006B708C">
              <w:rPr>
                <w:rFonts w:ascii="Calibri" w:hAnsi="Calibri" w:cs="Arial"/>
                <w:lang w:eastAsia="en-GB"/>
              </w:rPr>
              <w:t>Group</w:t>
            </w:r>
            <w:r w:rsidRPr="006B708C">
              <w:rPr>
                <w:rFonts w:ascii="Calibri" w:hAnsi="Calibri" w:cs="Arial"/>
                <w:lang w:eastAsia="en-GB"/>
              </w:rPr>
              <w:t>’s funding and capital plans, including related stress testing</w:t>
            </w:r>
          </w:p>
          <w:p w14:paraId="41B7396D" w14:textId="05645F66"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 xml:space="preserve">Risks to the </w:t>
            </w:r>
            <w:r w:rsidR="006B708C" w:rsidRPr="006B708C">
              <w:rPr>
                <w:rFonts w:ascii="Calibri" w:hAnsi="Calibri" w:cs="Arial"/>
                <w:lang w:eastAsia="en-GB"/>
              </w:rPr>
              <w:t>Group</w:t>
            </w:r>
            <w:r w:rsidRPr="006B708C">
              <w:rPr>
                <w:rFonts w:ascii="Calibri" w:hAnsi="Calibri" w:cs="Arial"/>
                <w:lang w:eastAsia="en-GB"/>
              </w:rPr>
              <w:t xml:space="preserve">’s interest rate risk profile, including gap risk, credit spread risk, </w:t>
            </w:r>
            <w:r w:rsidR="000072E2" w:rsidRPr="006B708C">
              <w:rPr>
                <w:rFonts w:ascii="Calibri" w:hAnsi="Calibri" w:cs="Arial"/>
                <w:lang w:eastAsia="en-GB"/>
              </w:rPr>
              <w:t xml:space="preserve">and </w:t>
            </w:r>
            <w:r w:rsidRPr="006B708C">
              <w:rPr>
                <w:rFonts w:ascii="Calibri" w:hAnsi="Calibri" w:cs="Arial"/>
                <w:lang w:eastAsia="en-GB"/>
              </w:rPr>
              <w:t>option risk</w:t>
            </w:r>
          </w:p>
          <w:p w14:paraId="2D22D0A8" w14:textId="14E452F0"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the quantification of risk versus</w:t>
            </w:r>
            <w:r w:rsidR="006B708C" w:rsidRPr="006B708C">
              <w:rPr>
                <w:rFonts w:ascii="Calibri" w:hAnsi="Calibri" w:cs="Arial"/>
                <w:lang w:eastAsia="en-GB"/>
              </w:rPr>
              <w:t xml:space="preserve"> allocation</w:t>
            </w:r>
          </w:p>
          <w:p w14:paraId="2BAB9081" w14:textId="77777777"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the efficiency and effectiveness of the Society’s capital and liquidity resource deployment and broader strategic balance sheet management approach</w:t>
            </w:r>
          </w:p>
          <w:p w14:paraId="1BF07C43" w14:textId="09AD11DB" w:rsidR="006E00FE" w:rsidRPr="006B708C" w:rsidRDefault="006E00FE" w:rsidP="006B708C">
            <w:pPr>
              <w:pStyle w:val="ListParagraph"/>
              <w:numPr>
                <w:ilvl w:val="0"/>
                <w:numId w:val="24"/>
              </w:numPr>
              <w:rPr>
                <w:rFonts w:ascii="Calibri" w:hAnsi="Calibri" w:cs="Arial"/>
                <w:lang w:eastAsia="en-GB"/>
              </w:rPr>
            </w:pPr>
            <w:r w:rsidRPr="006B708C">
              <w:rPr>
                <w:rFonts w:ascii="Calibri" w:hAnsi="Calibri" w:cs="Arial"/>
                <w:lang w:eastAsia="en-GB"/>
              </w:rPr>
              <w:t>regulatory compliance and level of preparedness for future regulatory changes</w:t>
            </w:r>
          </w:p>
          <w:p w14:paraId="4F92AEA9" w14:textId="77777777" w:rsidR="006E00FE" w:rsidRPr="006B708C" w:rsidRDefault="006E00FE" w:rsidP="006B708C">
            <w:pPr>
              <w:rPr>
                <w:rFonts w:ascii="Calibri" w:hAnsi="Calibri" w:cs="Arial"/>
                <w:lang w:eastAsia="en-GB"/>
              </w:rPr>
            </w:pPr>
          </w:p>
          <w:p w14:paraId="5116B164" w14:textId="4516FE3F" w:rsidR="006E00FE" w:rsidRPr="006B708C" w:rsidRDefault="006E00FE" w:rsidP="006E00FE">
            <w:pPr>
              <w:rPr>
                <w:rFonts w:ascii="Calibri" w:hAnsi="Calibri" w:cs="Arial"/>
                <w:lang w:eastAsia="en-GB"/>
              </w:rPr>
            </w:pPr>
            <w:r w:rsidRPr="006B708C">
              <w:rPr>
                <w:rFonts w:ascii="Calibri" w:hAnsi="Calibri" w:cs="Arial"/>
                <w:lang w:eastAsia="en-GB"/>
              </w:rPr>
              <w:t>You will be expected to maintain good relationships with key stakeholders and aim to be seen as a trusted advisor, who adds value through the application of your knowledge and judgement.</w:t>
            </w:r>
          </w:p>
          <w:p w14:paraId="1E249D9E" w14:textId="77777777" w:rsidR="006E00FE" w:rsidRPr="006B708C" w:rsidRDefault="006E00FE" w:rsidP="006E00FE">
            <w:pPr>
              <w:rPr>
                <w:rFonts w:ascii="Calibri" w:hAnsi="Calibri" w:cs="Arial"/>
                <w:lang w:eastAsia="en-GB"/>
              </w:rPr>
            </w:pPr>
          </w:p>
          <w:p w14:paraId="1226E6A3" w14:textId="7DBF6AFF" w:rsidR="006E00FE" w:rsidRPr="006B708C" w:rsidRDefault="006E00FE" w:rsidP="006E00FE">
            <w:pPr>
              <w:rPr>
                <w:rFonts w:ascii="Calibri" w:hAnsi="Calibri" w:cs="Arial"/>
                <w:lang w:eastAsia="en-GB"/>
              </w:rPr>
            </w:pPr>
            <w:r w:rsidRPr="006B708C">
              <w:rPr>
                <w:rFonts w:ascii="Calibri" w:hAnsi="Calibri" w:cs="Arial"/>
                <w:lang w:eastAsia="en-GB"/>
              </w:rPr>
              <w:t>You will need to be able to explain complex technical matters in a concise and easily understood format to senior but non-technical people and be confident in presenting your ideas, recommendations, and findings to senior audiences.</w:t>
            </w:r>
          </w:p>
          <w:p w14:paraId="3378A61C" w14:textId="77777777" w:rsidR="006E00FE" w:rsidRPr="006B708C" w:rsidRDefault="006E00FE" w:rsidP="006E00FE">
            <w:pPr>
              <w:rPr>
                <w:rFonts w:ascii="Calibri" w:hAnsi="Calibri" w:cs="Arial"/>
                <w:lang w:eastAsia="en-GB"/>
              </w:rPr>
            </w:pPr>
          </w:p>
          <w:p w14:paraId="0D0BFF57" w14:textId="67C37FB3" w:rsidR="00F04421" w:rsidRPr="0015624E" w:rsidRDefault="006E00FE" w:rsidP="006E00FE">
            <w:pPr>
              <w:rPr>
                <w:highlight w:val="yellow"/>
              </w:rPr>
            </w:pPr>
            <w:r w:rsidRPr="006B708C">
              <w:rPr>
                <w:rFonts w:ascii="Calibri" w:hAnsi="Calibri" w:cs="Arial"/>
                <w:lang w:eastAsia="en-GB"/>
              </w:rPr>
              <w:t>You will have a track record of being able to influence stakeholders and</w:t>
            </w:r>
            <w:r w:rsidR="006B708C" w:rsidRPr="006B708C">
              <w:rPr>
                <w:rFonts w:ascii="Calibri" w:hAnsi="Calibri" w:cs="Arial"/>
                <w:lang w:eastAsia="en-GB"/>
              </w:rPr>
              <w:t xml:space="preserve"> driver change. You will need to demonstrate </w:t>
            </w:r>
            <w:r w:rsidRPr="006B708C">
              <w:rPr>
                <w:rFonts w:ascii="Calibri" w:hAnsi="Calibri" w:cs="Arial"/>
                <w:lang w:eastAsia="en-GB"/>
              </w:rPr>
              <w:t>excellent report writing</w:t>
            </w:r>
            <w:r w:rsidR="006B708C" w:rsidRPr="006B708C">
              <w:rPr>
                <w:rFonts w:ascii="Calibri" w:hAnsi="Calibri" w:cs="Arial"/>
                <w:lang w:eastAsia="en-GB"/>
              </w:rPr>
              <w:t>, verbal communication</w:t>
            </w:r>
            <w:r w:rsidRPr="006B708C">
              <w:rPr>
                <w:rFonts w:ascii="Calibri" w:hAnsi="Calibri" w:cs="Arial"/>
                <w:lang w:eastAsia="en-GB"/>
              </w:rPr>
              <w:t xml:space="preserve"> and analytical skills. You will also be able to work under pressure to meet short timescales as required.</w:t>
            </w:r>
          </w:p>
        </w:tc>
      </w:tr>
      <w:tr w:rsidR="007221CE" w:rsidRPr="007221CE" w14:paraId="70DF8437" w14:textId="77777777" w:rsidTr="00352893">
        <w:trPr>
          <w:trHeight w:val="288"/>
        </w:trPr>
        <w:tc>
          <w:tcPr>
            <w:tcW w:w="5000" w:type="pct"/>
            <w:gridSpan w:val="10"/>
            <w:noWrap/>
            <w:hideMark/>
          </w:tcPr>
          <w:p w14:paraId="1E850A0E"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6C7B28E6" w14:textId="77777777" w:rsidTr="00346A33">
        <w:trPr>
          <w:trHeight w:val="1678"/>
        </w:trPr>
        <w:tc>
          <w:tcPr>
            <w:tcW w:w="5000" w:type="pct"/>
            <w:gridSpan w:val="10"/>
          </w:tcPr>
          <w:p w14:paraId="646EF9B5" w14:textId="77777777" w:rsidR="006E00FE" w:rsidRPr="006B708C" w:rsidRDefault="006E00FE" w:rsidP="006E00FE">
            <w:pPr>
              <w:rPr>
                <w:rFonts w:ascii="Calibri" w:hAnsi="Calibri" w:cs="Arial"/>
                <w:lang w:eastAsia="en-GB"/>
              </w:rPr>
            </w:pPr>
            <w:r w:rsidRPr="006B708C">
              <w:rPr>
                <w:rFonts w:ascii="Calibri" w:hAnsi="Calibri" w:cs="Arial"/>
                <w:lang w:eastAsia="en-GB"/>
              </w:rPr>
              <w:t>Educated to degree level (or higher) most likely via a numerate discipline (e.g., Economics, Finance, Mathematics), or demonstrable equivalent skills through experience.</w:t>
            </w:r>
          </w:p>
          <w:p w14:paraId="106E87B2" w14:textId="77777777" w:rsidR="006E00FE" w:rsidRPr="006B708C" w:rsidRDefault="006E00FE" w:rsidP="006E00FE">
            <w:pPr>
              <w:rPr>
                <w:rFonts w:ascii="Calibri" w:hAnsi="Calibri" w:cs="Arial"/>
                <w:lang w:eastAsia="en-GB"/>
              </w:rPr>
            </w:pPr>
          </w:p>
          <w:p w14:paraId="7B588390" w14:textId="77777777" w:rsidR="006E00FE" w:rsidRPr="006B708C" w:rsidRDefault="006E00FE" w:rsidP="006E00FE">
            <w:pPr>
              <w:rPr>
                <w:rFonts w:ascii="Calibri" w:hAnsi="Calibri" w:cs="Arial"/>
                <w:lang w:eastAsia="en-GB"/>
              </w:rPr>
            </w:pPr>
            <w:r w:rsidRPr="006B708C">
              <w:rPr>
                <w:rFonts w:ascii="Calibri" w:hAnsi="Calibri" w:cs="Arial"/>
                <w:lang w:eastAsia="en-GB"/>
              </w:rPr>
              <w:t>You will have a sound understanding of the prudential regulatory landscape, including Basel, regulatory reporting, Resolvability Assessment Framework, and the PRA Rulebook. You will also have prior experience of writing, reviewing, or advising upon ICAAPs or ILAAPs and a strong grasp of stress testing, liquidity/funding, and capital planning. You will be proactive and work with the business to help it navigate uncertainty, change and complexity and meet regulatory expectations.</w:t>
            </w:r>
          </w:p>
          <w:p w14:paraId="0DBC2B98" w14:textId="77777777" w:rsidR="006E00FE" w:rsidRPr="006B708C" w:rsidRDefault="006E00FE" w:rsidP="006E00FE">
            <w:pPr>
              <w:rPr>
                <w:rFonts w:ascii="Calibri" w:hAnsi="Calibri" w:cs="Arial"/>
                <w:lang w:eastAsia="en-GB"/>
              </w:rPr>
            </w:pPr>
          </w:p>
          <w:p w14:paraId="06E11880" w14:textId="75F8CF9F" w:rsidR="006E00FE" w:rsidRPr="006B708C" w:rsidRDefault="006E00FE" w:rsidP="006E00FE">
            <w:pPr>
              <w:rPr>
                <w:rFonts w:ascii="Calibri" w:hAnsi="Calibri" w:cs="Arial"/>
                <w:lang w:eastAsia="en-GB"/>
              </w:rPr>
            </w:pPr>
            <w:r w:rsidRPr="006B708C">
              <w:rPr>
                <w:rFonts w:ascii="Calibri" w:hAnsi="Calibri" w:cs="Arial"/>
                <w:lang w:eastAsia="en-GB"/>
              </w:rPr>
              <w:t xml:space="preserve">You will have significant prior exposure to dealing with capital, liquidity, and market risk related issues at a bank/building society, regulator, or professional services firm, and have strong knowledge of balance sheet management activities. You </w:t>
            </w:r>
            <w:r w:rsidR="000072E2" w:rsidRPr="006B708C">
              <w:rPr>
                <w:rFonts w:ascii="Calibri" w:hAnsi="Calibri" w:cs="Arial"/>
                <w:lang w:eastAsia="en-GB"/>
              </w:rPr>
              <w:t>understand</w:t>
            </w:r>
            <w:r w:rsidRPr="006B708C">
              <w:rPr>
                <w:rFonts w:ascii="Calibri" w:hAnsi="Calibri" w:cs="Arial"/>
                <w:lang w:eastAsia="en-GB"/>
              </w:rPr>
              <w:t xml:space="preserve"> market risk metrics and concepts, including EV, NII, EaR and structural hedging.</w:t>
            </w:r>
          </w:p>
          <w:p w14:paraId="04759569" w14:textId="77777777" w:rsidR="006E00FE" w:rsidRPr="006B708C" w:rsidRDefault="006E00FE" w:rsidP="006E00FE">
            <w:pPr>
              <w:autoSpaceDE w:val="0"/>
              <w:autoSpaceDN w:val="0"/>
              <w:adjustRightInd w:val="0"/>
              <w:rPr>
                <w:rFonts w:ascii="Calibri" w:hAnsi="Calibri" w:cs="Arial"/>
                <w:lang w:eastAsia="en-GB"/>
              </w:rPr>
            </w:pPr>
          </w:p>
          <w:p w14:paraId="2DF18562" w14:textId="7DC0B74E" w:rsidR="006E00FE" w:rsidRPr="006B708C" w:rsidRDefault="006E00FE" w:rsidP="006E00FE">
            <w:pPr>
              <w:autoSpaceDE w:val="0"/>
              <w:autoSpaceDN w:val="0"/>
              <w:adjustRightInd w:val="0"/>
              <w:rPr>
                <w:rFonts w:ascii="Calibri" w:hAnsi="Calibri" w:cs="Arial"/>
                <w:lang w:eastAsia="en-GB"/>
              </w:rPr>
            </w:pPr>
            <w:r w:rsidRPr="006B708C">
              <w:rPr>
                <w:rFonts w:ascii="Calibri" w:hAnsi="Calibri" w:cs="Arial"/>
                <w:lang w:eastAsia="en-GB"/>
              </w:rPr>
              <w:t>Prior exposure to and understanding of the following would be an advantage:</w:t>
            </w:r>
          </w:p>
          <w:p w14:paraId="2596C8D6" w14:textId="05EA04A4" w:rsidR="006E00FE" w:rsidRPr="006B708C" w:rsidRDefault="006B708C" w:rsidP="006E00FE">
            <w:pPr>
              <w:pStyle w:val="ListParagraph"/>
              <w:numPr>
                <w:ilvl w:val="0"/>
                <w:numId w:val="20"/>
              </w:numPr>
              <w:autoSpaceDE w:val="0"/>
              <w:autoSpaceDN w:val="0"/>
              <w:adjustRightInd w:val="0"/>
              <w:rPr>
                <w:rFonts w:ascii="Calibri" w:hAnsi="Calibri" w:cs="Arial"/>
                <w:lang w:eastAsia="en-GB"/>
              </w:rPr>
            </w:pPr>
            <w:r>
              <w:rPr>
                <w:rFonts w:ascii="Calibri" w:hAnsi="Calibri" w:cs="Arial"/>
                <w:lang w:eastAsia="en-GB"/>
              </w:rPr>
              <w:t xml:space="preserve">Advanced </w:t>
            </w:r>
            <w:r w:rsidR="006E00FE" w:rsidRPr="006B708C">
              <w:rPr>
                <w:rFonts w:ascii="Calibri" w:hAnsi="Calibri" w:cs="Arial"/>
                <w:lang w:eastAsia="en-GB"/>
              </w:rPr>
              <w:t xml:space="preserve">Internal Ratings Based (IRB) models </w:t>
            </w:r>
          </w:p>
          <w:p w14:paraId="65579850" w14:textId="24A3711E" w:rsidR="00F04421" w:rsidRPr="006B708C" w:rsidRDefault="006E00FE" w:rsidP="000072E2">
            <w:pPr>
              <w:pStyle w:val="ListParagraph"/>
              <w:numPr>
                <w:ilvl w:val="0"/>
                <w:numId w:val="20"/>
              </w:numPr>
              <w:rPr>
                <w:rFonts w:ascii="Calibri" w:hAnsi="Calibri" w:cs="Arial"/>
                <w:lang w:eastAsia="en-GB"/>
              </w:rPr>
            </w:pPr>
            <w:r w:rsidRPr="006B708C">
              <w:rPr>
                <w:rFonts w:ascii="Calibri" w:hAnsi="Calibri" w:cs="Arial"/>
                <w:lang w:eastAsia="en-GB"/>
              </w:rPr>
              <w:t>Model Validation</w:t>
            </w:r>
          </w:p>
        </w:tc>
      </w:tr>
      <w:tr w:rsidR="007221CE" w:rsidRPr="007221CE" w14:paraId="773E5360" w14:textId="77777777" w:rsidTr="00352893">
        <w:trPr>
          <w:trHeight w:val="288"/>
        </w:trPr>
        <w:tc>
          <w:tcPr>
            <w:tcW w:w="5000" w:type="pct"/>
            <w:gridSpan w:val="10"/>
            <w:noWrap/>
            <w:hideMark/>
          </w:tcPr>
          <w:p w14:paraId="4BDCF8B7" w14:textId="77777777" w:rsidR="007221CE" w:rsidRPr="007221CE" w:rsidRDefault="007221CE">
            <w:r w:rsidRPr="007221CE">
              <w:rPr>
                <w:b/>
                <w:bCs/>
              </w:rPr>
              <w:t>YOUR KEY RESPONSIBILITIES</w:t>
            </w:r>
            <w:r w:rsidRPr="007221CE">
              <w:t>. (Additional detailed performance objectives will be set by your manager)</w:t>
            </w:r>
          </w:p>
        </w:tc>
      </w:tr>
      <w:tr w:rsidR="008B6FD3" w:rsidRPr="007221CE" w14:paraId="32C75694" w14:textId="77777777" w:rsidTr="00F138C5">
        <w:trPr>
          <w:trHeight w:val="834"/>
        </w:trPr>
        <w:tc>
          <w:tcPr>
            <w:tcW w:w="789" w:type="pct"/>
            <w:gridSpan w:val="2"/>
          </w:tcPr>
          <w:p w14:paraId="2D119458" w14:textId="77777777" w:rsidR="008B6FD3" w:rsidRPr="007221CE" w:rsidRDefault="008B6FD3">
            <w:pPr>
              <w:rPr>
                <w:b/>
                <w:bCs/>
              </w:rPr>
            </w:pPr>
            <w:r>
              <w:rPr>
                <w:b/>
                <w:bCs/>
              </w:rPr>
              <w:t>General Profile</w:t>
            </w:r>
          </w:p>
        </w:tc>
        <w:tc>
          <w:tcPr>
            <w:tcW w:w="4211" w:type="pct"/>
            <w:gridSpan w:val="8"/>
          </w:tcPr>
          <w:p w14:paraId="729249ED" w14:textId="77777777" w:rsidR="00D3526E" w:rsidRDefault="000072E2" w:rsidP="000072E2">
            <w:pPr>
              <w:rPr>
                <w:rFonts w:ascii="Calibri" w:hAnsi="Calibri" w:cs="Arial"/>
                <w:lang w:eastAsia="en-GB"/>
              </w:rPr>
            </w:pPr>
            <w:r w:rsidRPr="00EB692C">
              <w:t xml:space="preserve">Support the </w:t>
            </w:r>
            <w:r w:rsidR="00D3526E">
              <w:t xml:space="preserve">Head of Financial &amp; Model Risk, </w:t>
            </w:r>
            <w:r w:rsidR="00D3526E">
              <w:rPr>
                <w:rFonts w:ascii="Calibri" w:hAnsi="Calibri" w:cs="Arial"/>
                <w:lang w:eastAsia="en-GB"/>
              </w:rPr>
              <w:t>Head of Model Risk Management &amp; Validation,</w:t>
            </w:r>
            <w:r w:rsidR="00D3526E" w:rsidRPr="006E00FE">
              <w:rPr>
                <w:rFonts w:ascii="Calibri" w:hAnsi="Calibri" w:cs="Arial"/>
                <w:lang w:eastAsia="en-GB"/>
              </w:rPr>
              <w:t xml:space="preserve"> Capital Risk Lead and Senior Prudential Risk Manager </w:t>
            </w:r>
            <w:r w:rsidR="00D3526E">
              <w:rPr>
                <w:rFonts w:ascii="Calibri" w:hAnsi="Calibri" w:cs="Arial"/>
                <w:lang w:eastAsia="en-GB"/>
              </w:rPr>
              <w:t xml:space="preserve">with respect to integration activities to align processes across Society and Bank. </w:t>
            </w:r>
          </w:p>
          <w:p w14:paraId="1826B23F" w14:textId="77777777" w:rsidR="00D3526E" w:rsidRDefault="00D3526E" w:rsidP="000072E2">
            <w:pPr>
              <w:rPr>
                <w:rFonts w:ascii="Calibri" w:hAnsi="Calibri" w:cs="Arial"/>
                <w:lang w:eastAsia="en-GB"/>
              </w:rPr>
            </w:pPr>
          </w:p>
          <w:p w14:paraId="14713003" w14:textId="5635BDA0" w:rsidR="000072E2" w:rsidRPr="00EB692C" w:rsidRDefault="00D3526E" w:rsidP="000072E2">
            <w:r>
              <w:rPr>
                <w:rFonts w:ascii="Calibri" w:hAnsi="Calibri" w:cs="Arial"/>
                <w:lang w:eastAsia="en-GB"/>
              </w:rPr>
              <w:t>In addition, to</w:t>
            </w:r>
            <w:r w:rsidR="000072E2" w:rsidRPr="00EB692C">
              <w:t xml:space="preserve"> providing 2nd line oversight and challenge to Finance, Treasury, </w:t>
            </w:r>
            <w:r w:rsidR="000072E2">
              <w:t xml:space="preserve">Credit, and </w:t>
            </w:r>
            <w:r w:rsidR="000072E2" w:rsidRPr="00EB692C">
              <w:t xml:space="preserve">Product teams, the CFO, Products and Strategy in respect of their management of </w:t>
            </w:r>
            <w:r w:rsidR="000072E2">
              <w:t>p</w:t>
            </w:r>
            <w:r w:rsidR="000072E2" w:rsidRPr="00EB692C">
              <w:t xml:space="preserve">rudential </w:t>
            </w:r>
            <w:r>
              <w:t xml:space="preserve">and model </w:t>
            </w:r>
            <w:r w:rsidR="000072E2" w:rsidRPr="00EB692C">
              <w:t>risk</w:t>
            </w:r>
            <w:r w:rsidR="000072E2">
              <w:t>s</w:t>
            </w:r>
            <w:r w:rsidR="000072E2" w:rsidRPr="00EB692C">
              <w:t>.  This includes:</w:t>
            </w:r>
          </w:p>
          <w:p w14:paraId="554B9D3C" w14:textId="77777777" w:rsidR="000072E2" w:rsidRPr="00EB692C" w:rsidRDefault="000072E2" w:rsidP="000072E2">
            <w:pPr>
              <w:pStyle w:val="ListParagraph"/>
              <w:numPr>
                <w:ilvl w:val="0"/>
                <w:numId w:val="7"/>
              </w:numPr>
            </w:pPr>
            <w:r w:rsidRPr="00EB692C">
              <w:t>Analysis of Society policy, risk methodology and associated regulation as part of detailed thematic risk reviews.</w:t>
            </w:r>
          </w:p>
          <w:p w14:paraId="50DBDED6" w14:textId="42D5ACDC" w:rsidR="000072E2" w:rsidRPr="00EB692C" w:rsidRDefault="000072E2" w:rsidP="000072E2">
            <w:pPr>
              <w:pStyle w:val="ListParagraph"/>
              <w:numPr>
                <w:ilvl w:val="0"/>
                <w:numId w:val="7"/>
              </w:numPr>
            </w:pPr>
            <w:r w:rsidRPr="00EB692C">
              <w:t>Second line oversight and challenge of the annual 1</w:t>
            </w:r>
            <w:r w:rsidRPr="00EB692C">
              <w:rPr>
                <w:vertAlign w:val="superscript"/>
              </w:rPr>
              <w:t>st</w:t>
            </w:r>
            <w:r w:rsidRPr="00EB692C">
              <w:t xml:space="preserve"> line production of the I</w:t>
            </w:r>
            <w:r>
              <w:t>L</w:t>
            </w:r>
            <w:r w:rsidRPr="00EB692C">
              <w:t>AAP</w:t>
            </w:r>
            <w:r>
              <w:t>, ICAAP, and Recovery Plan.</w:t>
            </w:r>
          </w:p>
          <w:p w14:paraId="6DB779C4" w14:textId="6C589E39" w:rsidR="00CC2F8A" w:rsidRPr="00915F71" w:rsidRDefault="000072E2" w:rsidP="000072E2">
            <w:pPr>
              <w:pStyle w:val="ListParagraph"/>
              <w:numPr>
                <w:ilvl w:val="0"/>
                <w:numId w:val="7"/>
              </w:numPr>
              <w:rPr>
                <w:snapToGrid w:val="0"/>
                <w:color w:val="000000"/>
              </w:rPr>
            </w:pPr>
            <w:r w:rsidRPr="00EB692C">
              <w:t xml:space="preserve">Ad hoc production of papers for Executive and Board consumption and where appropriate for the regulator in respect of Prudential </w:t>
            </w:r>
            <w:r w:rsidR="00D3526E">
              <w:t xml:space="preserve">and Model </w:t>
            </w:r>
            <w:r w:rsidRPr="00EB692C">
              <w:t>risks</w:t>
            </w:r>
            <w:r>
              <w:t>.</w:t>
            </w:r>
          </w:p>
        </w:tc>
      </w:tr>
      <w:tr w:rsidR="0030430B" w:rsidRPr="007221CE" w14:paraId="41408AE2" w14:textId="77777777" w:rsidTr="00915F71">
        <w:trPr>
          <w:trHeight w:val="1265"/>
        </w:trPr>
        <w:tc>
          <w:tcPr>
            <w:tcW w:w="789" w:type="pct"/>
            <w:gridSpan w:val="2"/>
            <w:hideMark/>
          </w:tcPr>
          <w:p w14:paraId="245147B4" w14:textId="77777777" w:rsidR="0030430B" w:rsidRPr="007221CE" w:rsidRDefault="0030430B">
            <w:pPr>
              <w:rPr>
                <w:b/>
                <w:bCs/>
              </w:rPr>
            </w:pPr>
            <w:r w:rsidRPr="007221CE">
              <w:rPr>
                <w:b/>
                <w:bCs/>
              </w:rPr>
              <w:lastRenderedPageBreak/>
              <w:t>People &amp; Relationships</w:t>
            </w:r>
          </w:p>
        </w:tc>
        <w:tc>
          <w:tcPr>
            <w:tcW w:w="4211" w:type="pct"/>
            <w:gridSpan w:val="8"/>
          </w:tcPr>
          <w:p w14:paraId="35D5179B" w14:textId="29D0A9B3" w:rsidR="000072E2" w:rsidRDefault="00D3526E" w:rsidP="000072E2">
            <w:r w:rsidRPr="00EB692C">
              <w:t xml:space="preserve">Support the </w:t>
            </w:r>
            <w:r>
              <w:t xml:space="preserve">Head of Financial &amp; Model Risk, </w:t>
            </w:r>
            <w:r>
              <w:rPr>
                <w:rFonts w:ascii="Calibri" w:hAnsi="Calibri" w:cs="Arial"/>
                <w:lang w:eastAsia="en-GB"/>
              </w:rPr>
              <w:t>Head of Model Risk Management &amp; Validation,</w:t>
            </w:r>
            <w:r w:rsidRPr="006E00FE">
              <w:rPr>
                <w:rFonts w:ascii="Calibri" w:hAnsi="Calibri" w:cs="Arial"/>
                <w:lang w:eastAsia="en-GB"/>
              </w:rPr>
              <w:t xml:space="preserve"> Capital Risk Lead and Senior Prudential Risk Manager </w:t>
            </w:r>
            <w:r w:rsidR="000072E2" w:rsidRPr="00EB692C">
              <w:t xml:space="preserve">in gaining trust and confidence of the </w:t>
            </w:r>
            <w:r>
              <w:t xml:space="preserve">Group </w:t>
            </w:r>
            <w:r w:rsidR="000072E2" w:rsidRPr="00EB692C">
              <w:t xml:space="preserve">CFO </w:t>
            </w:r>
            <w:r>
              <w:t>and Executive.</w:t>
            </w:r>
          </w:p>
          <w:p w14:paraId="6FD6A9F9" w14:textId="77777777" w:rsidR="000072E2" w:rsidRPr="00EB692C" w:rsidRDefault="000072E2" w:rsidP="000072E2"/>
          <w:p w14:paraId="4AF77597" w14:textId="1943B237" w:rsidR="000072E2" w:rsidRDefault="000072E2" w:rsidP="000072E2">
            <w:r w:rsidRPr="00EB692C">
              <w:t>Have the support of the Senior Prudential Risk Manager</w:t>
            </w:r>
            <w:r>
              <w:t xml:space="preserve"> and Capital Risk Lead.</w:t>
            </w:r>
          </w:p>
          <w:p w14:paraId="5518AC17" w14:textId="77777777" w:rsidR="000072E2" w:rsidRDefault="000072E2" w:rsidP="000072E2"/>
          <w:p w14:paraId="12670B5C" w14:textId="2E8ECC77" w:rsidR="000072E2" w:rsidRDefault="000072E2" w:rsidP="000072E2">
            <w:r>
              <w:t>Work with wider team members within Financial &amp; Model Risk and Enterprise Risk.</w:t>
            </w:r>
          </w:p>
          <w:p w14:paraId="3746D077" w14:textId="77777777" w:rsidR="000072E2" w:rsidRPr="00EB692C" w:rsidRDefault="000072E2" w:rsidP="000072E2"/>
          <w:p w14:paraId="162B724F" w14:textId="32B839E7" w:rsidR="000072E2" w:rsidRDefault="000072E2" w:rsidP="000072E2">
            <w:r w:rsidRPr="00EB692C">
              <w:t>Present papers</w:t>
            </w:r>
            <w:r>
              <w:t xml:space="preserve"> and provide challenge </w:t>
            </w:r>
            <w:r w:rsidRPr="00EB692C">
              <w:t>when necessary to ALC</w:t>
            </w:r>
            <w:r>
              <w:t>o</w:t>
            </w:r>
            <w:r w:rsidRPr="00EB692C">
              <w:t xml:space="preserve"> and associated subcommittees.</w:t>
            </w:r>
          </w:p>
          <w:p w14:paraId="60921022" w14:textId="77777777" w:rsidR="000072E2" w:rsidRDefault="000072E2" w:rsidP="000072E2"/>
          <w:p w14:paraId="3C270D93" w14:textId="0566EBCE" w:rsidR="008509E4" w:rsidRPr="007F17CD" w:rsidRDefault="000072E2" w:rsidP="000072E2">
            <w:r>
              <w:t xml:space="preserve">Once developed, be a point of contact for the </w:t>
            </w:r>
            <w:r w:rsidR="00D3526E">
              <w:rPr>
                <w:rFonts w:ascii="Calibri" w:hAnsi="Calibri" w:cs="Arial"/>
                <w:lang w:eastAsia="en-GB"/>
              </w:rPr>
              <w:t>Head of Model Risk Management &amp; Validation,</w:t>
            </w:r>
            <w:r w:rsidR="00D3526E" w:rsidRPr="006E00FE">
              <w:rPr>
                <w:rFonts w:ascii="Calibri" w:hAnsi="Calibri" w:cs="Arial"/>
                <w:lang w:eastAsia="en-GB"/>
              </w:rPr>
              <w:t xml:space="preserve"> Capital Risk Lead and Senior Prudential Risk Manager </w:t>
            </w:r>
            <w:r>
              <w:t>in their absence</w:t>
            </w:r>
            <w:r w:rsidR="00D3526E">
              <w:t xml:space="preserve"> with respect to Integration activities</w:t>
            </w:r>
            <w:r>
              <w:t>.</w:t>
            </w:r>
          </w:p>
        </w:tc>
      </w:tr>
      <w:tr w:rsidR="0030430B" w:rsidRPr="007221CE" w14:paraId="03125862" w14:textId="77777777" w:rsidTr="00915F71">
        <w:trPr>
          <w:trHeight w:val="1500"/>
        </w:trPr>
        <w:tc>
          <w:tcPr>
            <w:tcW w:w="789" w:type="pct"/>
            <w:gridSpan w:val="2"/>
            <w:hideMark/>
          </w:tcPr>
          <w:p w14:paraId="641CC8B5" w14:textId="77777777" w:rsidR="0030430B" w:rsidRPr="007221CE" w:rsidRDefault="0030430B">
            <w:pPr>
              <w:rPr>
                <w:b/>
                <w:bCs/>
              </w:rPr>
            </w:pPr>
            <w:r w:rsidRPr="007221CE">
              <w:rPr>
                <w:b/>
                <w:bCs/>
              </w:rPr>
              <w:t>Governance, Risk &amp; Controls</w:t>
            </w:r>
          </w:p>
        </w:tc>
        <w:tc>
          <w:tcPr>
            <w:tcW w:w="4211" w:type="pct"/>
            <w:gridSpan w:val="8"/>
          </w:tcPr>
          <w:p w14:paraId="7E7B7A58" w14:textId="47EA4D66" w:rsidR="000072E2" w:rsidRPr="00EB692C" w:rsidRDefault="000072E2" w:rsidP="000072E2">
            <w:r w:rsidRPr="00EB692C">
              <w:t xml:space="preserve">Support the </w:t>
            </w:r>
            <w:r w:rsidR="00D3526E">
              <w:t xml:space="preserve">Head of Financial &amp; Model Risk, </w:t>
            </w:r>
            <w:r w:rsidR="00D3526E">
              <w:rPr>
                <w:rFonts w:ascii="Calibri" w:hAnsi="Calibri" w:cs="Arial"/>
                <w:lang w:eastAsia="en-GB"/>
              </w:rPr>
              <w:t>Head of Model Risk Management &amp; Validation,</w:t>
            </w:r>
            <w:r w:rsidR="00D3526E" w:rsidRPr="006E00FE">
              <w:rPr>
                <w:rFonts w:ascii="Calibri" w:hAnsi="Calibri" w:cs="Arial"/>
                <w:lang w:eastAsia="en-GB"/>
              </w:rPr>
              <w:t xml:space="preserve"> Capital Risk Lead and Senior Prudential Risk Manager </w:t>
            </w:r>
            <w:r w:rsidRPr="00EB692C">
              <w:t>in ensuring that thematic reviews on prudential risk</w:t>
            </w:r>
            <w:r>
              <w:t xml:space="preserve">s </w:t>
            </w:r>
            <w:r w:rsidR="00D3526E">
              <w:t xml:space="preserve">and relevant integration activity </w:t>
            </w:r>
            <w:r w:rsidRPr="00EB692C">
              <w:t xml:space="preserve">are completed to a high standard and to time.  </w:t>
            </w:r>
            <w:r w:rsidR="00D3526E">
              <w:t>Over time, independently lead the reviews.</w:t>
            </w:r>
          </w:p>
          <w:p w14:paraId="51B0B4BB" w14:textId="250E42CB" w:rsidR="008509E4" w:rsidRDefault="008509E4" w:rsidP="000072E2"/>
        </w:tc>
      </w:tr>
      <w:tr w:rsidR="007221CE" w:rsidRPr="007221CE" w14:paraId="682F60E7" w14:textId="77777777" w:rsidTr="00F138C5">
        <w:trPr>
          <w:trHeight w:val="1387"/>
        </w:trPr>
        <w:tc>
          <w:tcPr>
            <w:tcW w:w="789" w:type="pct"/>
            <w:gridSpan w:val="2"/>
            <w:hideMark/>
          </w:tcPr>
          <w:p w14:paraId="71D55109" w14:textId="77777777" w:rsidR="007221CE" w:rsidRPr="007221CE" w:rsidRDefault="007221CE">
            <w:pPr>
              <w:rPr>
                <w:b/>
                <w:bCs/>
              </w:rPr>
            </w:pPr>
            <w:r w:rsidRPr="007221CE">
              <w:rPr>
                <w:b/>
                <w:bCs/>
              </w:rPr>
              <w:t>Impact, Scale &amp; Influence</w:t>
            </w:r>
          </w:p>
        </w:tc>
        <w:tc>
          <w:tcPr>
            <w:tcW w:w="4211" w:type="pct"/>
            <w:gridSpan w:val="8"/>
          </w:tcPr>
          <w:p w14:paraId="097EFFFE" w14:textId="2F7360D5" w:rsidR="00045D8C" w:rsidRPr="000072E2" w:rsidRDefault="000072E2" w:rsidP="000072E2">
            <w:pPr>
              <w:widowControl w:val="0"/>
              <w:rPr>
                <w:rFonts w:cstheme="minorHAnsi"/>
                <w:snapToGrid w:val="0"/>
                <w:color w:val="000000"/>
              </w:rPr>
            </w:pPr>
            <w:r w:rsidRPr="00EB692C">
              <w:t xml:space="preserve">Support the </w:t>
            </w:r>
            <w:r w:rsidR="00D3526E">
              <w:t xml:space="preserve">Head of Financial &amp; Model Risk, </w:t>
            </w:r>
            <w:r w:rsidR="00D3526E">
              <w:rPr>
                <w:rFonts w:ascii="Calibri" w:hAnsi="Calibri" w:cs="Arial"/>
                <w:lang w:eastAsia="en-GB"/>
              </w:rPr>
              <w:t>Head of Model Risk Management &amp; Validation,</w:t>
            </w:r>
            <w:r w:rsidR="00D3526E" w:rsidRPr="006E00FE">
              <w:rPr>
                <w:rFonts w:ascii="Calibri" w:hAnsi="Calibri" w:cs="Arial"/>
                <w:lang w:eastAsia="en-GB"/>
              </w:rPr>
              <w:t xml:space="preserve"> Capital Risk Lead and Senior Prudential Risk Manager </w:t>
            </w:r>
            <w:r w:rsidRPr="00EB692C">
              <w:t>in ensuring all 1</w:t>
            </w:r>
            <w:r w:rsidRPr="00EB692C">
              <w:rPr>
                <w:vertAlign w:val="superscript"/>
              </w:rPr>
              <w:t>st</w:t>
            </w:r>
            <w:r w:rsidRPr="00EB692C">
              <w:t xml:space="preserve"> line papers submitted to </w:t>
            </w:r>
            <w:r w:rsidR="00D3526E">
              <w:t>Group Committees</w:t>
            </w:r>
            <w:r w:rsidRPr="00EB692C">
              <w:t xml:space="preserve"> with a prudential</w:t>
            </w:r>
            <w:r w:rsidR="00D3526E">
              <w:t xml:space="preserve"> and model</w:t>
            </w:r>
            <w:r w:rsidRPr="00EB692C">
              <w:t xml:space="preserve"> subject matter have a</w:t>
            </w:r>
            <w:r w:rsidR="00D3526E">
              <w:t xml:space="preserve"> considered</w:t>
            </w:r>
            <w:r w:rsidRPr="00EB692C">
              <w:t xml:space="preserve"> respo</w:t>
            </w:r>
            <w:r>
              <w:t>nse from Financial &amp; Model Risk.</w:t>
            </w:r>
            <w:r w:rsidRPr="00EB692C">
              <w:t xml:space="preserve"> </w:t>
            </w:r>
          </w:p>
        </w:tc>
      </w:tr>
      <w:tr w:rsidR="007221CE" w:rsidRPr="007221CE" w14:paraId="2EF03F31" w14:textId="77777777" w:rsidTr="00915F71">
        <w:trPr>
          <w:trHeight w:val="1500"/>
        </w:trPr>
        <w:tc>
          <w:tcPr>
            <w:tcW w:w="789" w:type="pct"/>
            <w:gridSpan w:val="2"/>
            <w:hideMark/>
          </w:tcPr>
          <w:p w14:paraId="7CA56F82" w14:textId="77777777" w:rsidR="007221CE" w:rsidRPr="007221CE" w:rsidRDefault="007221CE" w:rsidP="007221CE">
            <w:pPr>
              <w:rPr>
                <w:b/>
                <w:bCs/>
              </w:rPr>
            </w:pPr>
            <w:r w:rsidRPr="007221CE">
              <w:rPr>
                <w:b/>
                <w:bCs/>
              </w:rPr>
              <w:t xml:space="preserve">Decision Making / Problem Solving </w:t>
            </w:r>
          </w:p>
        </w:tc>
        <w:tc>
          <w:tcPr>
            <w:tcW w:w="4211" w:type="pct"/>
            <w:gridSpan w:val="8"/>
          </w:tcPr>
          <w:p w14:paraId="1653FBD1" w14:textId="19CE3704" w:rsidR="00F138C5" w:rsidRPr="000072E2" w:rsidRDefault="00D3526E" w:rsidP="000072E2">
            <w:pPr>
              <w:rPr>
                <w:rFonts w:cstheme="minorHAnsi"/>
                <w:snapToGrid w:val="0"/>
                <w:color w:val="000000"/>
              </w:rPr>
            </w:pPr>
            <w:r>
              <w:t xml:space="preserve">Lead aspects of the integration activities. </w:t>
            </w:r>
            <w:r w:rsidR="000072E2">
              <w:t xml:space="preserve">2nd line challenge </w:t>
            </w:r>
            <w:r w:rsidR="000072E2" w:rsidRPr="008827D9">
              <w:t xml:space="preserve">on all </w:t>
            </w:r>
            <w:r w:rsidR="000072E2">
              <w:t>the Society’s prudential</w:t>
            </w:r>
            <w:r>
              <w:t xml:space="preserve"> and model</w:t>
            </w:r>
            <w:r w:rsidR="000072E2">
              <w:t xml:space="preserve"> based p</w:t>
            </w:r>
            <w:r w:rsidR="000072E2" w:rsidRPr="008827D9">
              <w:t>rincipal risks;</w:t>
            </w:r>
            <w:r w:rsidR="000072E2" w:rsidRPr="008827D9">
              <w:rPr>
                <w:color w:val="FF0000"/>
              </w:rPr>
              <w:t xml:space="preserve"> </w:t>
            </w:r>
            <w:r w:rsidR="000072E2" w:rsidRPr="008827D9">
              <w:t>provide expertise to colleagues on model methodology and regulatory compliance where necessary on prudential risk approaches and have sufficient analytical skills to appropriately challenge all Treasury activity including investments</w:t>
            </w:r>
            <w:r w:rsidR="000072E2">
              <w:t xml:space="preserve">, </w:t>
            </w:r>
            <w:r w:rsidR="000072E2" w:rsidRPr="008827D9">
              <w:t>funding</w:t>
            </w:r>
            <w:r w:rsidR="000072E2">
              <w:t>, and capital</w:t>
            </w:r>
            <w:r w:rsidR="000072E2" w:rsidRPr="008827D9">
              <w:t xml:space="preserve"> structures.</w:t>
            </w:r>
          </w:p>
        </w:tc>
      </w:tr>
      <w:tr w:rsidR="0019560D" w:rsidRPr="007221CE" w14:paraId="2A924D01" w14:textId="77777777" w:rsidTr="00815AC9">
        <w:trPr>
          <w:trHeight w:val="70"/>
        </w:trPr>
        <w:tc>
          <w:tcPr>
            <w:tcW w:w="5000" w:type="pct"/>
            <w:gridSpan w:val="10"/>
          </w:tcPr>
          <w:p w14:paraId="51B51277" w14:textId="77777777" w:rsidR="0019560D" w:rsidRDefault="0019560D" w:rsidP="002A089C"/>
        </w:tc>
      </w:tr>
      <w:tr w:rsidR="0030430B" w:rsidRPr="007221CE" w14:paraId="750AEC8B" w14:textId="77777777" w:rsidTr="0075141D">
        <w:trPr>
          <w:trHeight w:val="888"/>
        </w:trPr>
        <w:tc>
          <w:tcPr>
            <w:tcW w:w="821" w:type="pct"/>
            <w:gridSpan w:val="3"/>
          </w:tcPr>
          <w:p w14:paraId="49A0D6CF" w14:textId="77777777" w:rsidR="0030430B" w:rsidRPr="007221CE" w:rsidRDefault="0030430B" w:rsidP="007221CE">
            <w:pPr>
              <w:rPr>
                <w:b/>
                <w:bCs/>
              </w:rPr>
            </w:pPr>
            <w:r>
              <w:rPr>
                <w:b/>
                <w:bCs/>
              </w:rPr>
              <w:t>Comparable Roles</w:t>
            </w:r>
          </w:p>
        </w:tc>
        <w:tc>
          <w:tcPr>
            <w:tcW w:w="4179" w:type="pct"/>
            <w:gridSpan w:val="7"/>
          </w:tcPr>
          <w:p w14:paraId="36BFBEE3" w14:textId="33761438" w:rsidR="00757056" w:rsidRDefault="00815AC9" w:rsidP="000072E2">
            <w:r>
              <w:t>Capital Risk Lead</w:t>
            </w:r>
            <w:r w:rsidR="0015624E">
              <w:t>/ Senior Manager – Prudential Risk (but without line management)</w:t>
            </w:r>
          </w:p>
        </w:tc>
      </w:tr>
    </w:tbl>
    <w:p w14:paraId="3F2187C8" w14:textId="77777777" w:rsidR="007221CE" w:rsidRDefault="007221CE"/>
    <w:p w14:paraId="0462E418" w14:textId="77777777" w:rsidR="007221CE" w:rsidRDefault="007221CE"/>
    <w:sectPr w:rsidR="007221CE" w:rsidSect="00B9191A">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B5FE" w14:textId="77777777" w:rsidR="00D808EA" w:rsidRDefault="00D808EA" w:rsidP="00357945">
      <w:pPr>
        <w:spacing w:after="0" w:line="240" w:lineRule="auto"/>
      </w:pPr>
      <w:r>
        <w:separator/>
      </w:r>
    </w:p>
  </w:endnote>
  <w:endnote w:type="continuationSeparator" w:id="0">
    <w:p w14:paraId="55C6C172" w14:textId="77777777" w:rsidR="00D808EA" w:rsidRDefault="00D808EA" w:rsidP="0035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5086" w14:textId="0091FE26" w:rsidR="00357945" w:rsidRDefault="00357945">
    <w:pPr>
      <w:pStyle w:val="Footer"/>
    </w:pPr>
    <w:r>
      <w:rPr>
        <w:noProof/>
      </w:rPr>
      <mc:AlternateContent>
        <mc:Choice Requires="wps">
          <w:drawing>
            <wp:anchor distT="0" distB="0" distL="0" distR="0" simplePos="0" relativeHeight="251659264" behindDoc="0" locked="0" layoutInCell="1" allowOverlap="1" wp14:anchorId="7BCFAB80" wp14:editId="2501F0EC">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65092" w14:textId="684DBFA3"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CFAB80"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7065092" w14:textId="684DBFA3"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35B1" w14:textId="2E3BDE75" w:rsidR="00357945" w:rsidRDefault="00357945">
    <w:pPr>
      <w:pStyle w:val="Footer"/>
    </w:pPr>
    <w:r>
      <w:rPr>
        <w:noProof/>
      </w:rPr>
      <mc:AlternateContent>
        <mc:Choice Requires="wps">
          <w:drawing>
            <wp:anchor distT="0" distB="0" distL="0" distR="0" simplePos="0" relativeHeight="251660288" behindDoc="0" locked="0" layoutInCell="1" allowOverlap="1" wp14:anchorId="49D20499" wp14:editId="1279B068">
              <wp:simplePos x="914400" y="1006792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C7B2E" w14:textId="11BE7618"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D20499"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96C7B2E" w14:textId="11BE7618"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83F" w14:textId="73399CEC" w:rsidR="00357945" w:rsidRDefault="00357945">
    <w:pPr>
      <w:pStyle w:val="Footer"/>
    </w:pPr>
    <w:r>
      <w:rPr>
        <w:noProof/>
      </w:rPr>
      <mc:AlternateContent>
        <mc:Choice Requires="wps">
          <w:drawing>
            <wp:anchor distT="0" distB="0" distL="0" distR="0" simplePos="0" relativeHeight="251658240" behindDoc="0" locked="0" layoutInCell="1" allowOverlap="1" wp14:anchorId="0445F017" wp14:editId="09697497">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3AB1C" w14:textId="19585DBD"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45F017"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ED3AB1C" w14:textId="19585DBD" w:rsidR="00357945" w:rsidRPr="00357945" w:rsidRDefault="00357945" w:rsidP="00357945">
                    <w:pPr>
                      <w:spacing w:after="0"/>
                      <w:rPr>
                        <w:rFonts w:ascii="Calibri" w:eastAsia="Calibri" w:hAnsi="Calibri" w:cs="Calibri"/>
                        <w:noProof/>
                        <w:color w:val="000000"/>
                        <w:sz w:val="20"/>
                        <w:szCs w:val="20"/>
                      </w:rPr>
                    </w:pPr>
                    <w:r w:rsidRPr="00357945">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96B5" w14:textId="77777777" w:rsidR="00D808EA" w:rsidRDefault="00D808EA" w:rsidP="00357945">
      <w:pPr>
        <w:spacing w:after="0" w:line="240" w:lineRule="auto"/>
      </w:pPr>
      <w:r>
        <w:separator/>
      </w:r>
    </w:p>
  </w:footnote>
  <w:footnote w:type="continuationSeparator" w:id="0">
    <w:p w14:paraId="44DDE57B" w14:textId="77777777" w:rsidR="00D808EA" w:rsidRDefault="00D808EA" w:rsidP="00357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CA9"/>
    <w:multiLevelType w:val="hybridMultilevel"/>
    <w:tmpl w:val="CF0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F77"/>
    <w:multiLevelType w:val="hybridMultilevel"/>
    <w:tmpl w:val="C018E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31E8C"/>
    <w:multiLevelType w:val="hybridMultilevel"/>
    <w:tmpl w:val="38D4A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55AD7"/>
    <w:multiLevelType w:val="hybridMultilevel"/>
    <w:tmpl w:val="5A0A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E6D4C"/>
    <w:multiLevelType w:val="hybridMultilevel"/>
    <w:tmpl w:val="60AAAF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D0FDE"/>
    <w:multiLevelType w:val="hybridMultilevel"/>
    <w:tmpl w:val="0690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0310C"/>
    <w:multiLevelType w:val="hybridMultilevel"/>
    <w:tmpl w:val="05140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C78D3"/>
    <w:multiLevelType w:val="hybridMultilevel"/>
    <w:tmpl w:val="EC0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74DFA"/>
    <w:multiLevelType w:val="hybridMultilevel"/>
    <w:tmpl w:val="4A6ED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9F55E7"/>
    <w:multiLevelType w:val="hybridMultilevel"/>
    <w:tmpl w:val="98EA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52598"/>
    <w:multiLevelType w:val="hybridMultilevel"/>
    <w:tmpl w:val="D5E2CD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2ACE5F7B"/>
    <w:multiLevelType w:val="hybridMultilevel"/>
    <w:tmpl w:val="12CA3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7703C"/>
    <w:multiLevelType w:val="hybridMultilevel"/>
    <w:tmpl w:val="FD6A8E5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39FB1C97"/>
    <w:multiLevelType w:val="hybridMultilevel"/>
    <w:tmpl w:val="0D108460"/>
    <w:lvl w:ilvl="0" w:tplc="0080744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E63D90"/>
    <w:multiLevelType w:val="hybridMultilevel"/>
    <w:tmpl w:val="192C0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5A3478"/>
    <w:multiLevelType w:val="hybridMultilevel"/>
    <w:tmpl w:val="284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B5CAA"/>
    <w:multiLevelType w:val="hybridMultilevel"/>
    <w:tmpl w:val="9EB0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80F31"/>
    <w:multiLevelType w:val="hybridMultilevel"/>
    <w:tmpl w:val="DC74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F3F96"/>
    <w:multiLevelType w:val="hybridMultilevel"/>
    <w:tmpl w:val="425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94AC8"/>
    <w:multiLevelType w:val="hybridMultilevel"/>
    <w:tmpl w:val="27D8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309B1"/>
    <w:multiLevelType w:val="hybridMultilevel"/>
    <w:tmpl w:val="090E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E6F0F"/>
    <w:multiLevelType w:val="hybridMultilevel"/>
    <w:tmpl w:val="7884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07C81"/>
    <w:multiLevelType w:val="hybridMultilevel"/>
    <w:tmpl w:val="5FE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A4493"/>
    <w:multiLevelType w:val="hybridMultilevel"/>
    <w:tmpl w:val="E446DB96"/>
    <w:lvl w:ilvl="0" w:tplc="0080744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604728">
    <w:abstractNumId w:val="12"/>
  </w:num>
  <w:num w:numId="2" w16cid:durableId="540048232">
    <w:abstractNumId w:val="17"/>
  </w:num>
  <w:num w:numId="3" w16cid:durableId="1352877433">
    <w:abstractNumId w:val="1"/>
  </w:num>
  <w:num w:numId="4" w16cid:durableId="1675110744">
    <w:abstractNumId w:val="8"/>
  </w:num>
  <w:num w:numId="5" w16cid:durableId="1211650210">
    <w:abstractNumId w:val="15"/>
  </w:num>
  <w:num w:numId="6" w16cid:durableId="1846286784">
    <w:abstractNumId w:val="4"/>
  </w:num>
  <w:num w:numId="7" w16cid:durableId="1761952547">
    <w:abstractNumId w:val="0"/>
  </w:num>
  <w:num w:numId="8" w16cid:durableId="161240993">
    <w:abstractNumId w:val="11"/>
  </w:num>
  <w:num w:numId="9" w16cid:durableId="347951413">
    <w:abstractNumId w:val="7"/>
  </w:num>
  <w:num w:numId="10" w16cid:durableId="749930157">
    <w:abstractNumId w:val="3"/>
  </w:num>
  <w:num w:numId="11" w16cid:durableId="657417378">
    <w:abstractNumId w:val="18"/>
  </w:num>
  <w:num w:numId="12" w16cid:durableId="480512348">
    <w:abstractNumId w:val="6"/>
  </w:num>
  <w:num w:numId="13" w16cid:durableId="1798912328">
    <w:abstractNumId w:val="16"/>
  </w:num>
  <w:num w:numId="14" w16cid:durableId="1451129450">
    <w:abstractNumId w:val="14"/>
  </w:num>
  <w:num w:numId="15" w16cid:durableId="1572691419">
    <w:abstractNumId w:val="21"/>
  </w:num>
  <w:num w:numId="16" w16cid:durableId="781875844">
    <w:abstractNumId w:val="19"/>
  </w:num>
  <w:num w:numId="17" w16cid:durableId="956444138">
    <w:abstractNumId w:val="9"/>
  </w:num>
  <w:num w:numId="18" w16cid:durableId="481892976">
    <w:abstractNumId w:val="23"/>
  </w:num>
  <w:num w:numId="19" w16cid:durableId="1516650945">
    <w:abstractNumId w:val="13"/>
  </w:num>
  <w:num w:numId="20" w16cid:durableId="924846042">
    <w:abstractNumId w:val="5"/>
  </w:num>
  <w:num w:numId="21" w16cid:durableId="777405992">
    <w:abstractNumId w:val="2"/>
  </w:num>
  <w:num w:numId="22" w16cid:durableId="1023551509">
    <w:abstractNumId w:val="20"/>
  </w:num>
  <w:num w:numId="23" w16cid:durableId="1857111605">
    <w:abstractNumId w:val="10"/>
  </w:num>
  <w:num w:numId="24" w16cid:durableId="11327959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072E2"/>
    <w:rsid w:val="00030BAD"/>
    <w:rsid w:val="00045D8C"/>
    <w:rsid w:val="000A02C2"/>
    <w:rsid w:val="000C4C12"/>
    <w:rsid w:val="000C6A22"/>
    <w:rsid w:val="0011117E"/>
    <w:rsid w:val="001303CF"/>
    <w:rsid w:val="0013405D"/>
    <w:rsid w:val="0015624E"/>
    <w:rsid w:val="001617E8"/>
    <w:rsid w:val="0019560D"/>
    <w:rsid w:val="00195C02"/>
    <w:rsid w:val="00196EDB"/>
    <w:rsid w:val="001F7D22"/>
    <w:rsid w:val="002236A8"/>
    <w:rsid w:val="00230D62"/>
    <w:rsid w:val="00231DEE"/>
    <w:rsid w:val="00240947"/>
    <w:rsid w:val="00241BAF"/>
    <w:rsid w:val="002527A6"/>
    <w:rsid w:val="0029079E"/>
    <w:rsid w:val="002A0008"/>
    <w:rsid w:val="002A089C"/>
    <w:rsid w:val="002B35A8"/>
    <w:rsid w:val="002D3F75"/>
    <w:rsid w:val="002E5D7F"/>
    <w:rsid w:val="002F249E"/>
    <w:rsid w:val="0030430B"/>
    <w:rsid w:val="00316B5D"/>
    <w:rsid w:val="00326341"/>
    <w:rsid w:val="00336D49"/>
    <w:rsid w:val="00346A33"/>
    <w:rsid w:val="00352893"/>
    <w:rsid w:val="00357945"/>
    <w:rsid w:val="00365EB1"/>
    <w:rsid w:val="00394ABC"/>
    <w:rsid w:val="003B1678"/>
    <w:rsid w:val="00440DDE"/>
    <w:rsid w:val="00475190"/>
    <w:rsid w:val="004805DD"/>
    <w:rsid w:val="00481F78"/>
    <w:rsid w:val="004A6CED"/>
    <w:rsid w:val="004B7FCE"/>
    <w:rsid w:val="004E6D1B"/>
    <w:rsid w:val="004F1684"/>
    <w:rsid w:val="00507CB9"/>
    <w:rsid w:val="00527E03"/>
    <w:rsid w:val="00537377"/>
    <w:rsid w:val="005A3E87"/>
    <w:rsid w:val="005C6F07"/>
    <w:rsid w:val="005D348D"/>
    <w:rsid w:val="005E786F"/>
    <w:rsid w:val="006026BE"/>
    <w:rsid w:val="00607D78"/>
    <w:rsid w:val="0061743D"/>
    <w:rsid w:val="00634069"/>
    <w:rsid w:val="00635664"/>
    <w:rsid w:val="00655A99"/>
    <w:rsid w:val="006B708C"/>
    <w:rsid w:val="006D09CD"/>
    <w:rsid w:val="006E00FE"/>
    <w:rsid w:val="006E1A6A"/>
    <w:rsid w:val="006E1B7B"/>
    <w:rsid w:val="00713397"/>
    <w:rsid w:val="0071732B"/>
    <w:rsid w:val="00720FBD"/>
    <w:rsid w:val="007221CE"/>
    <w:rsid w:val="0075141D"/>
    <w:rsid w:val="007559BA"/>
    <w:rsid w:val="00757056"/>
    <w:rsid w:val="0076154D"/>
    <w:rsid w:val="0077662D"/>
    <w:rsid w:val="00786DFC"/>
    <w:rsid w:val="00797EBB"/>
    <w:rsid w:val="007B1066"/>
    <w:rsid w:val="007C4800"/>
    <w:rsid w:val="007C6655"/>
    <w:rsid w:val="007F17CD"/>
    <w:rsid w:val="007F312E"/>
    <w:rsid w:val="00815AC9"/>
    <w:rsid w:val="008346D7"/>
    <w:rsid w:val="008509E4"/>
    <w:rsid w:val="00860AC0"/>
    <w:rsid w:val="00860B30"/>
    <w:rsid w:val="00896A57"/>
    <w:rsid w:val="008A6BE4"/>
    <w:rsid w:val="008B6FD3"/>
    <w:rsid w:val="008C3AE9"/>
    <w:rsid w:val="008D3634"/>
    <w:rsid w:val="00901C80"/>
    <w:rsid w:val="0090516A"/>
    <w:rsid w:val="00915F71"/>
    <w:rsid w:val="00924DBC"/>
    <w:rsid w:val="00952BCE"/>
    <w:rsid w:val="00953DD3"/>
    <w:rsid w:val="00992335"/>
    <w:rsid w:val="009A609E"/>
    <w:rsid w:val="009C6F89"/>
    <w:rsid w:val="009C7346"/>
    <w:rsid w:val="009F0D91"/>
    <w:rsid w:val="009F16CF"/>
    <w:rsid w:val="00A65033"/>
    <w:rsid w:val="00A70143"/>
    <w:rsid w:val="00A9378F"/>
    <w:rsid w:val="00AB038D"/>
    <w:rsid w:val="00AE68AB"/>
    <w:rsid w:val="00B1016B"/>
    <w:rsid w:val="00B221E2"/>
    <w:rsid w:val="00B71859"/>
    <w:rsid w:val="00B76B19"/>
    <w:rsid w:val="00B9191A"/>
    <w:rsid w:val="00BD03E6"/>
    <w:rsid w:val="00C20B43"/>
    <w:rsid w:val="00C279B2"/>
    <w:rsid w:val="00C46AFB"/>
    <w:rsid w:val="00C53B07"/>
    <w:rsid w:val="00C66B62"/>
    <w:rsid w:val="00C714B1"/>
    <w:rsid w:val="00C96F65"/>
    <w:rsid w:val="00CB090F"/>
    <w:rsid w:val="00CC2F8A"/>
    <w:rsid w:val="00CC7F01"/>
    <w:rsid w:val="00CE29B2"/>
    <w:rsid w:val="00D06966"/>
    <w:rsid w:val="00D24E5D"/>
    <w:rsid w:val="00D26DED"/>
    <w:rsid w:val="00D3526E"/>
    <w:rsid w:val="00D400A2"/>
    <w:rsid w:val="00D778C5"/>
    <w:rsid w:val="00D808EA"/>
    <w:rsid w:val="00DA6492"/>
    <w:rsid w:val="00DB0758"/>
    <w:rsid w:val="00DB13CD"/>
    <w:rsid w:val="00DB5CF3"/>
    <w:rsid w:val="00DD7CDA"/>
    <w:rsid w:val="00E0033E"/>
    <w:rsid w:val="00E00701"/>
    <w:rsid w:val="00E31F61"/>
    <w:rsid w:val="00E3534B"/>
    <w:rsid w:val="00E42D97"/>
    <w:rsid w:val="00E8026F"/>
    <w:rsid w:val="00E80DF4"/>
    <w:rsid w:val="00E815DD"/>
    <w:rsid w:val="00EB6898"/>
    <w:rsid w:val="00EB7C79"/>
    <w:rsid w:val="00F04421"/>
    <w:rsid w:val="00F138C5"/>
    <w:rsid w:val="00F16544"/>
    <w:rsid w:val="00F30FE2"/>
    <w:rsid w:val="00F54BF8"/>
    <w:rsid w:val="00F90E94"/>
    <w:rsid w:val="00FA742F"/>
    <w:rsid w:val="00FB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44DB"/>
  <w15:docId w15:val="{196DDA12-D3F0-4F8D-BE58-A8EFE5BA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character" w:customStyle="1" w:styleId="lt-line-clampline">
    <w:name w:val="lt-line-clamp__line"/>
    <w:basedOn w:val="DefaultParagraphFont"/>
    <w:rsid w:val="00E815DD"/>
  </w:style>
  <w:style w:type="paragraph" w:styleId="BodyText3">
    <w:name w:val="Body Text 3"/>
    <w:basedOn w:val="Normal"/>
    <w:link w:val="BodyText3Char"/>
    <w:rsid w:val="002E5D7F"/>
    <w:pPr>
      <w:widowControl w:val="0"/>
      <w:spacing w:after="0" w:line="240" w:lineRule="auto"/>
    </w:pPr>
    <w:rPr>
      <w:rFonts w:ascii="Verdana" w:eastAsia="Times New Roman" w:hAnsi="Verdana" w:cs="Times New Roman"/>
      <w:snapToGrid w:val="0"/>
      <w:color w:val="000000"/>
      <w:sz w:val="24"/>
      <w:szCs w:val="20"/>
      <w:lang w:val="en-US"/>
    </w:rPr>
  </w:style>
  <w:style w:type="character" w:customStyle="1" w:styleId="BodyText3Char">
    <w:name w:val="Body Text 3 Char"/>
    <w:basedOn w:val="DefaultParagraphFont"/>
    <w:link w:val="BodyText3"/>
    <w:rsid w:val="002E5D7F"/>
    <w:rPr>
      <w:rFonts w:ascii="Verdana" w:eastAsia="Times New Roman" w:hAnsi="Verdana" w:cs="Times New Roman"/>
      <w:snapToGrid w:val="0"/>
      <w:color w:val="000000"/>
      <w:sz w:val="24"/>
      <w:szCs w:val="20"/>
      <w:lang w:val="en-US"/>
    </w:rPr>
  </w:style>
  <w:style w:type="paragraph" w:styleId="ListParagraph">
    <w:name w:val="List Paragraph"/>
    <w:basedOn w:val="Normal"/>
    <w:uiPriority w:val="34"/>
    <w:qFormat/>
    <w:rsid w:val="00C714B1"/>
    <w:pPr>
      <w:ind w:left="720"/>
      <w:contextualSpacing/>
    </w:pPr>
  </w:style>
  <w:style w:type="paragraph" w:styleId="Footer">
    <w:name w:val="footer"/>
    <w:basedOn w:val="Normal"/>
    <w:link w:val="FooterChar"/>
    <w:uiPriority w:val="99"/>
    <w:unhideWhenUsed/>
    <w:rsid w:val="00007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2399">
      <w:bodyDiv w:val="1"/>
      <w:marLeft w:val="0"/>
      <w:marRight w:val="0"/>
      <w:marTop w:val="0"/>
      <w:marBottom w:val="0"/>
      <w:divBdr>
        <w:top w:val="none" w:sz="0" w:space="0" w:color="auto"/>
        <w:left w:val="none" w:sz="0" w:space="0" w:color="auto"/>
        <w:bottom w:val="none" w:sz="0" w:space="0" w:color="auto"/>
        <w:right w:val="none" w:sz="0" w:space="0" w:color="auto"/>
      </w:divBdr>
    </w:div>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B91954" w:rsidP="00B91954">
          <w:pPr>
            <w:pStyle w:val="C733D5EE4B6E4B61BEC321F0DF80BEFE2"/>
          </w:pPr>
          <w:r w:rsidRPr="0098538C">
            <w:rPr>
              <w:rStyle w:val="PlaceholderText"/>
            </w:rPr>
            <w:t>Choose an item.</w:t>
          </w:r>
        </w:p>
      </w:docPartBody>
    </w:docPart>
    <w:docPart>
      <w:docPartPr>
        <w:name w:val="65BB29DEB3064DFDABA384B231D64219"/>
        <w:category>
          <w:name w:val="General"/>
          <w:gallery w:val="placeholder"/>
        </w:category>
        <w:types>
          <w:type w:val="bbPlcHdr"/>
        </w:types>
        <w:behaviors>
          <w:behavior w:val="content"/>
        </w:behaviors>
        <w:guid w:val="{7259FF5C-8A3B-4794-959E-CB6B946B02F0}"/>
      </w:docPartPr>
      <w:docPartBody>
        <w:p w:rsidR="00ED4491" w:rsidRDefault="006C7869" w:rsidP="006C7869">
          <w:pPr>
            <w:pStyle w:val="65BB29DEB3064DFDABA384B231D64219"/>
          </w:pPr>
          <w:r w:rsidRPr="0098538C">
            <w:rPr>
              <w:rStyle w:val="PlaceholderText"/>
            </w:rPr>
            <w:t>Choose an item.</w:t>
          </w:r>
        </w:p>
      </w:docPartBody>
    </w:docPart>
    <w:docPart>
      <w:docPartPr>
        <w:name w:val="E2A80EBF01684B60A442737E0F78939D"/>
        <w:category>
          <w:name w:val="General"/>
          <w:gallery w:val="placeholder"/>
        </w:category>
        <w:types>
          <w:type w:val="bbPlcHdr"/>
        </w:types>
        <w:behaviors>
          <w:behavior w:val="content"/>
        </w:behaviors>
        <w:guid w:val="{C8A1F97E-E772-44DC-BB13-5340A16650CF}"/>
      </w:docPartPr>
      <w:docPartBody>
        <w:p w:rsidR="00ED4491" w:rsidRDefault="006C7869" w:rsidP="006C7869">
          <w:pPr>
            <w:pStyle w:val="E2A80EBF01684B60A442737E0F78939D"/>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19032B"/>
    <w:rsid w:val="00194797"/>
    <w:rsid w:val="001F695F"/>
    <w:rsid w:val="00216582"/>
    <w:rsid w:val="00225BE7"/>
    <w:rsid w:val="00375E22"/>
    <w:rsid w:val="004B327A"/>
    <w:rsid w:val="00507DAF"/>
    <w:rsid w:val="00591B18"/>
    <w:rsid w:val="005E2F68"/>
    <w:rsid w:val="006B1FE7"/>
    <w:rsid w:val="006C7869"/>
    <w:rsid w:val="007047EB"/>
    <w:rsid w:val="007440CA"/>
    <w:rsid w:val="007860D7"/>
    <w:rsid w:val="00841B7C"/>
    <w:rsid w:val="00967152"/>
    <w:rsid w:val="009E6C1C"/>
    <w:rsid w:val="00B91954"/>
    <w:rsid w:val="00D44F78"/>
    <w:rsid w:val="00D44F94"/>
    <w:rsid w:val="00D6131B"/>
    <w:rsid w:val="00DF7FBF"/>
    <w:rsid w:val="00ED4491"/>
    <w:rsid w:val="00F42953"/>
    <w:rsid w:val="00F9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3EC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69"/>
    <w:rPr>
      <w:color w:val="808080"/>
    </w:rPr>
  </w:style>
  <w:style w:type="paragraph" w:customStyle="1" w:styleId="65BB29DEB3064DFDABA384B231D64219">
    <w:name w:val="65BB29DEB3064DFDABA384B231D64219"/>
    <w:rsid w:val="006C7869"/>
    <w:pPr>
      <w:spacing w:after="160" w:line="259" w:lineRule="auto"/>
    </w:pPr>
  </w:style>
  <w:style w:type="paragraph" w:customStyle="1" w:styleId="E2A80EBF01684B60A442737E0F78939D">
    <w:name w:val="E2A80EBF01684B60A442737E0F78939D"/>
    <w:rsid w:val="006C7869"/>
    <w:pPr>
      <w:spacing w:after="160" w:line="259" w:lineRule="auto"/>
    </w:pPr>
  </w:style>
  <w:style w:type="paragraph" w:customStyle="1" w:styleId="C733D5EE4B6E4B61BEC321F0DF80BEFE2">
    <w:name w:val="C733D5EE4B6E4B61BEC321F0DF80BEFE2"/>
    <w:rsid w:val="00B919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F9F841CBACA41A7ED37A583E10C73" ma:contentTypeVersion="2" ma:contentTypeDescription="Create a new document." ma:contentTypeScope="" ma:versionID="9d8ab1dcd245ec94fc8ebe81987e5516">
  <xsd:schema xmlns:xsd="http://www.w3.org/2001/XMLSchema" xmlns:p="http://schemas.microsoft.com/office/2006/metadata/properties" xmlns:ns1="http://schemas.microsoft.com/sharepoint/v3" targetNamespace="http://schemas.microsoft.com/office/2006/metadata/properties" ma:root="true" ma:fieldsID="25df6c7ef153de09e9f345b7afbe2c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D1647-D837-4D18-850E-408FB1078D7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F0AFA3E-27D0-45B0-99A4-95688170E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55C0AB-5B29-4778-9E33-9A8CC3E09449}">
  <ds:schemaRefs>
    <ds:schemaRef ds:uri="http://schemas.openxmlformats.org/officeDocument/2006/bibliography"/>
  </ds:schemaRefs>
</ds:datastoreItem>
</file>

<file path=customXml/itemProps4.xml><?xml version="1.0" encoding="utf-8"?>
<ds:datastoreItem xmlns:ds="http://schemas.openxmlformats.org/officeDocument/2006/customXml" ds:itemID="{D27A5719-9601-463B-B463-AB776C79689A}">
  <ds:schemaRefs>
    <ds:schemaRef ds:uri="http://schemas.microsoft.com/sharepoint/v3/contenttype/forms"/>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2018 Blank Role Profile Template</vt:lpstr>
    </vt:vector>
  </TitlesOfParts>
  <Company>Coventry Building Society</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Blank Role Profile Template</dc:title>
  <dc:creator>Taylor,Bridget</dc:creator>
  <cp:lastModifiedBy>Young,Stacey</cp:lastModifiedBy>
  <cp:revision>2</cp:revision>
  <cp:lastPrinted>2019-05-16T08:08:00Z</cp:lastPrinted>
  <dcterms:created xsi:type="dcterms:W3CDTF">2025-01-03T09:07:00Z</dcterms:created>
  <dcterms:modified xsi:type="dcterms:W3CDTF">2025-01-03T09:07:00Z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0x0101001CFF9F841CBACA41A7ED37A583E10C73</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