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4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850"/>
        <w:gridCol w:w="567"/>
        <w:gridCol w:w="132"/>
        <w:gridCol w:w="866"/>
        <w:gridCol w:w="699"/>
        <w:gridCol w:w="2132"/>
        <w:gridCol w:w="2983"/>
      </w:tblGrid>
      <w:tr w:rsidR="002527A6" w14:paraId="27490D89" w14:textId="77777777" w:rsidTr="00687ECE">
        <w:trPr>
          <w:trHeight w:val="480"/>
        </w:trPr>
        <w:tc>
          <w:tcPr>
            <w:tcW w:w="1531" w:type="pct"/>
            <w:gridSpan w:val="3"/>
            <w:vMerge w:val="restart"/>
          </w:tcPr>
          <w:p w14:paraId="3FE4C1A6" w14:textId="77777777" w:rsidR="007221CE" w:rsidRDefault="007221CE"/>
          <w:p w14:paraId="45E5C1CA" w14:textId="77777777" w:rsidR="007221CE" w:rsidRDefault="007221CE">
            <w:r>
              <w:rPr>
                <w:noProof/>
                <w:lang w:eastAsia="en-GB"/>
              </w:rPr>
              <w:drawing>
                <wp:inline distT="0" distB="0" distL="0" distR="0" wp14:anchorId="2286BA23" wp14:editId="14B8D4B5">
                  <wp:extent cx="1596788" cy="416257"/>
                  <wp:effectExtent l="0" t="0" r="3810" b="3175"/>
                  <wp:docPr id="3" name="Picture 1" descr="cid:image003.png@01D2932A.1F9825A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id:image003.png@01D2932A.1F9825A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86" cy="437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83CF9" w14:textId="77777777" w:rsidR="007221CE" w:rsidRDefault="007221CE"/>
        </w:tc>
        <w:tc>
          <w:tcPr>
            <w:tcW w:w="3469" w:type="pct"/>
            <w:gridSpan w:val="5"/>
          </w:tcPr>
          <w:p w14:paraId="6057E715" w14:textId="77777777" w:rsidR="007221CE" w:rsidRPr="007221CE" w:rsidRDefault="007221CE" w:rsidP="007221CE">
            <w:pPr>
              <w:jc w:val="center"/>
              <w:rPr>
                <w:b/>
                <w:sz w:val="36"/>
                <w:szCs w:val="36"/>
              </w:rPr>
            </w:pPr>
            <w:r w:rsidRPr="007221CE">
              <w:rPr>
                <w:b/>
                <w:sz w:val="36"/>
                <w:szCs w:val="36"/>
              </w:rPr>
              <w:t>ROLE PROFILE</w:t>
            </w:r>
          </w:p>
        </w:tc>
      </w:tr>
      <w:tr w:rsidR="002527A6" w14:paraId="7A322ED6" w14:textId="77777777" w:rsidTr="00687ECE">
        <w:trPr>
          <w:trHeight w:val="558"/>
        </w:trPr>
        <w:tc>
          <w:tcPr>
            <w:tcW w:w="1531" w:type="pct"/>
            <w:gridSpan w:val="3"/>
            <w:vMerge/>
          </w:tcPr>
          <w:p w14:paraId="389912BE" w14:textId="77777777" w:rsidR="007221CE" w:rsidRDefault="007221CE"/>
        </w:tc>
        <w:tc>
          <w:tcPr>
            <w:tcW w:w="3469" w:type="pct"/>
            <w:gridSpan w:val="5"/>
            <w:vAlign w:val="center"/>
          </w:tcPr>
          <w:p w14:paraId="6370D1EC" w14:textId="419D8925" w:rsidR="007221CE" w:rsidRPr="00770B87" w:rsidRDefault="00770B87" w:rsidP="007221CE">
            <w:pPr>
              <w:jc w:val="center"/>
              <w:rPr>
                <w:sz w:val="28"/>
                <w:szCs w:val="28"/>
              </w:rPr>
            </w:pPr>
            <w:r w:rsidRPr="00770B87">
              <w:rPr>
                <w:sz w:val="28"/>
                <w:szCs w:val="28"/>
              </w:rPr>
              <w:t xml:space="preserve">Prudential </w:t>
            </w:r>
            <w:r w:rsidR="004C6365" w:rsidRPr="00770B87">
              <w:rPr>
                <w:sz w:val="28"/>
                <w:szCs w:val="28"/>
              </w:rPr>
              <w:t>Regulatory Liaison and Horizon Scanning</w:t>
            </w:r>
            <w:r w:rsidRPr="00770B87">
              <w:rPr>
                <w:sz w:val="28"/>
                <w:szCs w:val="28"/>
              </w:rPr>
              <w:t xml:space="preserve"> </w:t>
            </w:r>
            <w:r w:rsidR="00AC4B43">
              <w:rPr>
                <w:sz w:val="28"/>
                <w:szCs w:val="28"/>
              </w:rPr>
              <w:t>Specialist</w:t>
            </w:r>
          </w:p>
        </w:tc>
      </w:tr>
      <w:tr w:rsidR="00365EB1" w:rsidRPr="007221CE" w14:paraId="32BD9632" w14:textId="77777777" w:rsidTr="00687ECE">
        <w:trPr>
          <w:trHeight w:val="288"/>
        </w:trPr>
        <w:tc>
          <w:tcPr>
            <w:tcW w:w="809" w:type="pct"/>
            <w:noWrap/>
            <w:hideMark/>
          </w:tcPr>
          <w:p w14:paraId="723BBB5B" w14:textId="77777777" w:rsidR="00394ABC" w:rsidRPr="00394ABC" w:rsidRDefault="007221CE" w:rsidP="00302E25">
            <w:pPr>
              <w:rPr>
                <w:b/>
              </w:rPr>
            </w:pPr>
            <w:r w:rsidRPr="00394ABC">
              <w:rPr>
                <w:b/>
              </w:rPr>
              <w:t>Reports to:</w:t>
            </w:r>
          </w:p>
        </w:tc>
        <w:tc>
          <w:tcPr>
            <w:tcW w:w="4191" w:type="pct"/>
            <w:gridSpan w:val="7"/>
            <w:noWrap/>
            <w:hideMark/>
          </w:tcPr>
          <w:p w14:paraId="788F7662" w14:textId="6C272DE8" w:rsidR="007221CE" w:rsidRPr="007221CE" w:rsidRDefault="00E7649E">
            <w:r w:rsidRPr="00E7649E">
              <w:t>Prudential Regulatory Liaison and Horizon Scanning Lead</w:t>
            </w:r>
          </w:p>
        </w:tc>
      </w:tr>
      <w:tr w:rsidR="002527A6" w:rsidRPr="007221CE" w14:paraId="6E5DA19A" w14:textId="77777777" w:rsidTr="00687ECE">
        <w:trPr>
          <w:trHeight w:val="288"/>
        </w:trPr>
        <w:tc>
          <w:tcPr>
            <w:tcW w:w="809" w:type="pct"/>
            <w:noWrap/>
            <w:hideMark/>
          </w:tcPr>
          <w:p w14:paraId="2E37DB1A" w14:textId="77777777" w:rsidR="00394ABC" w:rsidRPr="006D09CD" w:rsidRDefault="007221CE">
            <w:pPr>
              <w:rPr>
                <w:b/>
              </w:rPr>
            </w:pPr>
            <w:r w:rsidRPr="00394ABC">
              <w:rPr>
                <w:b/>
              </w:rPr>
              <w:t>Grade:</w:t>
            </w:r>
          </w:p>
        </w:tc>
        <w:tc>
          <w:tcPr>
            <w:tcW w:w="1586" w:type="pct"/>
            <w:gridSpan w:val="5"/>
            <w:noWrap/>
            <w:hideMark/>
          </w:tcPr>
          <w:p w14:paraId="2FDD2D3E" w14:textId="3618FCBE" w:rsidR="007221CE" w:rsidRPr="007221CE" w:rsidRDefault="00000000" w:rsidP="007221CE">
            <w:sdt>
              <w:sdtPr>
                <w:alias w:val="Grade"/>
                <w:tag w:val="Grade"/>
                <w:id w:val="-1896804037"/>
                <w:placeholder>
                  <w:docPart w:val="3244F6FBDFEA49FE9B201C301967BCD4"/>
                </w:placeholder>
                <w:dropDownList>
                  <w:listItem w:value="Choose an item."/>
                  <w:listItem w:displayText="Customer Service &amp; Technical Support" w:value="Customer Service &amp; Technical Support"/>
                  <w:listItem w:displayText="Senior Customer Service &amp; Technical Support" w:value="Senior Customer Service &amp; Technical Support"/>
                  <w:listItem w:displayText="Professional / Technical" w:value="Professional / Technical"/>
                  <w:listItem w:displayText="Senior Professional / Technical" w:value="Senior Professional / Technical"/>
                  <w:listItem w:displayText="Lead Professional / Technical" w:value="Lead Professional / Technical"/>
                  <w:listItem w:displayText="Team Leader" w:value="Team Leader"/>
                  <w:listItem w:displayText="Manager" w:value="Manager"/>
                  <w:listItem w:displayText="Senior Manager" w:value="Senior Manager"/>
                  <w:listItem w:displayText="Functional Leader" w:value="Functional Leader"/>
                  <w:listItem w:displayText="Enterprise Leader" w:value="Enterprise Leader"/>
                  <w:listItem w:displayText="Executive" w:value="Executive"/>
                </w:dropDownList>
              </w:sdtPr>
              <w:sdtContent>
                <w:r w:rsidR="00BC6D4F">
                  <w:t>Senior Professional / Technical</w:t>
                </w:r>
              </w:sdtContent>
            </w:sdt>
          </w:p>
        </w:tc>
        <w:tc>
          <w:tcPr>
            <w:tcW w:w="1086" w:type="pct"/>
            <w:noWrap/>
            <w:hideMark/>
          </w:tcPr>
          <w:p w14:paraId="531D7139" w14:textId="77777777" w:rsidR="007221CE" w:rsidRPr="007221CE" w:rsidRDefault="007221CE" w:rsidP="006D09CD">
            <w:r w:rsidRPr="00394ABC">
              <w:rPr>
                <w:b/>
              </w:rPr>
              <w:t>Job Family:</w:t>
            </w:r>
            <w:r w:rsidR="00394ABC">
              <w:t xml:space="preserve"> </w:t>
            </w:r>
          </w:p>
        </w:tc>
        <w:sdt>
          <w:sdtPr>
            <w:alias w:val="Job Family"/>
            <w:tag w:val="Job Family"/>
            <w:id w:val="-1729450357"/>
            <w:placeholder>
              <w:docPart w:val="8E8FBDCE6FBB4EFF8102B20CEFE60CD3"/>
            </w:placeholder>
            <w:dropDownList>
              <w:listItem w:value="Choose an item."/>
              <w:listItem w:displayText="Business Services" w:value="Business Services"/>
              <w:listItem w:displayText="Change" w:value="Change"/>
              <w:listItem w:displayText="Compliance &amp; Quality" w:value="Compliance &amp; Quality"/>
              <w:listItem w:displayText="Data Analytics &amp; Insight" w:value="Data Analytics &amp; Insight"/>
              <w:listItem w:displayText="Finance" w:value="Finance"/>
              <w:listItem w:displayText="Financial Regulatory Governance &amp; Treasury" w:value="Financial Regulatory Governance &amp; Treasury"/>
              <w:listItem w:displayText="Human Resources" w:value="Human Resources"/>
              <w:listItem w:displayText="IT Architecture" w:value="IT Architecture"/>
              <w:listItem w:displayText="IT Cyber Security" w:value="IT Cyber Security"/>
              <w:listItem w:displayText="IT Engineering" w:value="IT Engineering"/>
              <w:listItem w:displayText="IT Service" w:value="IT Service"/>
              <w:listItem w:displayText="Legal Services" w:value="Legal Services"/>
              <w:listItem w:displayText="Marketing Product &amp; Comms" w:value="Marketing Product &amp; Comms"/>
              <w:listItem w:displayText="Match to Market" w:value="Match to Market"/>
              <w:listItem w:displayText="Member Service" w:value="Member Service"/>
              <w:listItem w:displayText="Mortgage Underwriting" w:value="Mortgage Underwriting"/>
              <w:listItem w:displayText="Procurement" w:value="Procurement"/>
              <w:listItem w:displayText="Regulated Mortgage Advice" w:value="Regulated Mortgage Advice"/>
              <w:listItem w:displayText="Relationship Management" w:value="Relationship Management"/>
              <w:listItem w:displayText="Risk Management" w:value="Risk Management"/>
            </w:dropDownList>
          </w:sdtPr>
          <w:sdtContent>
            <w:tc>
              <w:tcPr>
                <w:tcW w:w="1519" w:type="pct"/>
                <w:noWrap/>
                <w:hideMark/>
              </w:tcPr>
              <w:p w14:paraId="2B8D7F69" w14:textId="2B7CEAC4" w:rsidR="007221CE" w:rsidRPr="007221CE" w:rsidRDefault="00182497">
                <w:r>
                  <w:t>Financial Regulatory Governance &amp; Treasury</w:t>
                </w:r>
              </w:p>
            </w:tc>
          </w:sdtContent>
        </w:sdt>
      </w:tr>
      <w:tr w:rsidR="002527A6" w:rsidRPr="007221CE" w14:paraId="7530E463" w14:textId="77777777" w:rsidTr="00687ECE">
        <w:trPr>
          <w:trHeight w:val="288"/>
        </w:trPr>
        <w:tc>
          <w:tcPr>
            <w:tcW w:w="809" w:type="pct"/>
            <w:noWrap/>
            <w:hideMark/>
          </w:tcPr>
          <w:p w14:paraId="190D9592" w14:textId="77777777" w:rsidR="00394ABC" w:rsidRPr="007221CE" w:rsidRDefault="00394ABC">
            <w:r>
              <w:rPr>
                <w:b/>
                <w:bCs/>
              </w:rPr>
              <w:t xml:space="preserve">Leadership </w:t>
            </w:r>
            <w:r w:rsidRPr="007221CE">
              <w:rPr>
                <w:b/>
                <w:bCs/>
              </w:rPr>
              <w:t>Responsibility:</w:t>
            </w:r>
          </w:p>
        </w:tc>
        <w:tc>
          <w:tcPr>
            <w:tcW w:w="433" w:type="pct"/>
            <w:noWrap/>
            <w:hideMark/>
          </w:tcPr>
          <w:p w14:paraId="392FC8FF" w14:textId="77777777" w:rsidR="00394ABC" w:rsidRPr="006D09CD" w:rsidRDefault="00394ABC">
            <w:pPr>
              <w:rPr>
                <w:sz w:val="18"/>
                <w:szCs w:val="18"/>
              </w:rPr>
            </w:pPr>
            <w:r w:rsidRPr="006D09CD">
              <w:rPr>
                <w:sz w:val="18"/>
                <w:szCs w:val="18"/>
              </w:rPr>
              <w:t>Direct</w:t>
            </w:r>
            <w:r w:rsidR="006D09CD" w:rsidRPr="006D09CD">
              <w:rPr>
                <w:sz w:val="18"/>
                <w:szCs w:val="18"/>
              </w:rPr>
              <w:t xml:space="preserve"> Reports</w:t>
            </w:r>
            <w:r w:rsidRPr="006D09CD">
              <w:rPr>
                <w:sz w:val="18"/>
                <w:szCs w:val="18"/>
              </w:rPr>
              <w:t>:</w:t>
            </w:r>
          </w:p>
        </w:tc>
        <w:tc>
          <w:tcPr>
            <w:tcW w:w="356" w:type="pct"/>
            <w:gridSpan w:val="2"/>
            <w:noWrap/>
            <w:hideMark/>
          </w:tcPr>
          <w:p w14:paraId="793EB8FF" w14:textId="7AA0CC13" w:rsidR="00394ABC" w:rsidRPr="00687ECE" w:rsidRDefault="00BC6D4F">
            <w:r>
              <w:t>0</w:t>
            </w:r>
          </w:p>
        </w:tc>
        <w:tc>
          <w:tcPr>
            <w:tcW w:w="441" w:type="pct"/>
            <w:noWrap/>
            <w:hideMark/>
          </w:tcPr>
          <w:p w14:paraId="764C1115" w14:textId="77777777" w:rsidR="00394ABC" w:rsidRPr="007221CE" w:rsidRDefault="006D09CD" w:rsidP="006D09CD">
            <w:r w:rsidRPr="006D09CD">
              <w:rPr>
                <w:sz w:val="18"/>
                <w:szCs w:val="18"/>
              </w:rPr>
              <w:t>Indirect Reports:</w:t>
            </w:r>
          </w:p>
        </w:tc>
        <w:tc>
          <w:tcPr>
            <w:tcW w:w="356" w:type="pct"/>
            <w:noWrap/>
          </w:tcPr>
          <w:p w14:paraId="5F385BF9" w14:textId="77777777" w:rsidR="00394ABC" w:rsidRPr="007221CE" w:rsidRDefault="00394ABC" w:rsidP="00E0033E"/>
        </w:tc>
        <w:tc>
          <w:tcPr>
            <w:tcW w:w="1086" w:type="pct"/>
            <w:noWrap/>
          </w:tcPr>
          <w:p w14:paraId="102D375A" w14:textId="77777777" w:rsidR="00394ABC" w:rsidRPr="007221CE" w:rsidRDefault="00394ABC" w:rsidP="00365EB1">
            <w:r>
              <w:rPr>
                <w:b/>
                <w:bCs/>
              </w:rPr>
              <w:t>Regulatory Info</w:t>
            </w:r>
            <w:r w:rsidR="00655A99">
              <w:rPr>
                <w:b/>
                <w:bCs/>
              </w:rPr>
              <w:t>rmation</w:t>
            </w:r>
            <w:r>
              <w:rPr>
                <w:b/>
                <w:bCs/>
              </w:rPr>
              <w:t xml:space="preserve">: </w:t>
            </w:r>
          </w:p>
        </w:tc>
        <w:sdt>
          <w:sdtPr>
            <w:alias w:val="Regulatory Info"/>
            <w:tag w:val="Regulatory Info"/>
            <w:id w:val="1040475019"/>
            <w:placeholder>
              <w:docPart w:val="C733D5EE4B6E4B61BEC321F0DF80BEFE"/>
            </w:placeholder>
            <w:dropDownList>
              <w:listItem w:value="Choose an item."/>
              <w:listItem w:displayText="SMF" w:value="SMF"/>
              <w:listItem w:displayText="MRT" w:value="MRT"/>
              <w:listItem w:displayText="Certified Role" w:value="Certified Role"/>
              <w:listItem w:displayText="Not Applicable" w:value="Not Applicable"/>
            </w:dropDownList>
          </w:sdtPr>
          <w:sdtContent>
            <w:tc>
              <w:tcPr>
                <w:tcW w:w="1519" w:type="pct"/>
                <w:noWrap/>
              </w:tcPr>
              <w:p w14:paraId="31B12DA5" w14:textId="6C7BB050" w:rsidR="00394ABC" w:rsidRPr="007221CE" w:rsidRDefault="00182497" w:rsidP="00E273DA">
                <w:r>
                  <w:t>Not Applicable</w:t>
                </w:r>
              </w:p>
            </w:tc>
          </w:sdtContent>
        </w:sdt>
      </w:tr>
      <w:tr w:rsidR="00687ECE" w:rsidRPr="007221CE" w14:paraId="499BCF16" w14:textId="77777777" w:rsidTr="00687ECE">
        <w:trPr>
          <w:trHeight w:val="288"/>
        </w:trPr>
        <w:tc>
          <w:tcPr>
            <w:tcW w:w="809" w:type="pct"/>
            <w:noWrap/>
            <w:hideMark/>
          </w:tcPr>
          <w:p w14:paraId="6FB694CF" w14:textId="77777777" w:rsidR="00687ECE" w:rsidRPr="00394ABC" w:rsidRDefault="00687ECE">
            <w:pPr>
              <w:rPr>
                <w:b/>
              </w:rPr>
            </w:pPr>
            <w:r w:rsidRPr="00394ABC">
              <w:rPr>
                <w:b/>
              </w:rPr>
              <w:t>Location:</w:t>
            </w:r>
          </w:p>
        </w:tc>
        <w:tc>
          <w:tcPr>
            <w:tcW w:w="1586" w:type="pct"/>
            <w:gridSpan w:val="5"/>
            <w:noWrap/>
          </w:tcPr>
          <w:p w14:paraId="7098C49C" w14:textId="791C751E" w:rsidR="00687ECE" w:rsidRPr="007221CE" w:rsidRDefault="00687ECE">
            <w:r w:rsidRPr="00687ECE">
              <w:rPr>
                <w:sz w:val="20"/>
                <w:szCs w:val="20"/>
              </w:rPr>
              <w:t>Binley, Coventry. Team-led hybrid working arrangements apply.</w:t>
            </w:r>
          </w:p>
        </w:tc>
        <w:tc>
          <w:tcPr>
            <w:tcW w:w="1086" w:type="pct"/>
          </w:tcPr>
          <w:p w14:paraId="055005F4" w14:textId="1F65EA7D" w:rsidR="00687ECE" w:rsidRPr="007221CE" w:rsidRDefault="00687ECE">
            <w:r w:rsidRPr="00687ECE">
              <w:rPr>
                <w:b/>
              </w:rPr>
              <w:t>Working hours:</w:t>
            </w:r>
          </w:p>
        </w:tc>
        <w:tc>
          <w:tcPr>
            <w:tcW w:w="1519" w:type="pct"/>
          </w:tcPr>
          <w:p w14:paraId="539A419E" w14:textId="77777777" w:rsidR="00687ECE" w:rsidRDefault="00182497">
            <w:r>
              <w:t xml:space="preserve">9am – 5pm </w:t>
            </w:r>
          </w:p>
          <w:p w14:paraId="2FBB904E" w14:textId="5571AABD" w:rsidR="00182497" w:rsidRPr="007221CE" w:rsidRDefault="00182497">
            <w:r>
              <w:t>Monday - Friday</w:t>
            </w:r>
          </w:p>
        </w:tc>
      </w:tr>
      <w:tr w:rsidR="00687ECE" w:rsidRPr="007221CE" w14:paraId="02D7BEDB" w14:textId="77777777" w:rsidTr="00687ECE">
        <w:trPr>
          <w:trHeight w:val="288"/>
        </w:trPr>
        <w:tc>
          <w:tcPr>
            <w:tcW w:w="809" w:type="pct"/>
            <w:noWrap/>
          </w:tcPr>
          <w:p w14:paraId="6CD73AC5" w14:textId="1B04A1A6" w:rsidR="00687ECE" w:rsidRPr="00394ABC" w:rsidRDefault="00687ECE">
            <w:pPr>
              <w:rPr>
                <w:b/>
              </w:rPr>
            </w:pPr>
            <w:r>
              <w:rPr>
                <w:b/>
              </w:rPr>
              <w:t>Effective Date:</w:t>
            </w:r>
          </w:p>
        </w:tc>
        <w:tc>
          <w:tcPr>
            <w:tcW w:w="1586" w:type="pct"/>
            <w:gridSpan w:val="5"/>
            <w:noWrap/>
          </w:tcPr>
          <w:p w14:paraId="17F687A9" w14:textId="69A3113D" w:rsidR="00687ECE" w:rsidRPr="00687ECE" w:rsidRDefault="00182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086" w:type="pct"/>
          </w:tcPr>
          <w:p w14:paraId="67BF2E0B" w14:textId="6241C057" w:rsidR="00687ECE" w:rsidRPr="00687ECE" w:rsidRDefault="00687ECE">
            <w:pPr>
              <w:rPr>
                <w:b/>
              </w:rPr>
            </w:pPr>
            <w:r>
              <w:rPr>
                <w:b/>
              </w:rPr>
              <w:t>WD Job Code:</w:t>
            </w:r>
          </w:p>
        </w:tc>
        <w:tc>
          <w:tcPr>
            <w:tcW w:w="1519" w:type="pct"/>
          </w:tcPr>
          <w:p w14:paraId="2C56390F" w14:textId="77777777" w:rsidR="00687ECE" w:rsidRPr="007221CE" w:rsidRDefault="00687ECE"/>
        </w:tc>
      </w:tr>
      <w:tr w:rsidR="007221CE" w:rsidRPr="007221CE" w14:paraId="1923DB64" w14:textId="77777777" w:rsidTr="00687ECE">
        <w:trPr>
          <w:trHeight w:val="288"/>
        </w:trPr>
        <w:tc>
          <w:tcPr>
            <w:tcW w:w="5000" w:type="pct"/>
            <w:gridSpan w:val="8"/>
            <w:shd w:val="clear" w:color="auto" w:fill="8DB3E2" w:themeFill="text2" w:themeFillTint="66"/>
            <w:noWrap/>
            <w:hideMark/>
          </w:tcPr>
          <w:p w14:paraId="79645528" w14:textId="77777777" w:rsidR="007221CE" w:rsidRPr="007221CE" w:rsidRDefault="007221CE">
            <w:r w:rsidRPr="007221CE">
              <w:rPr>
                <w:b/>
                <w:bCs/>
              </w:rPr>
              <w:t>ABOUT THE ROLE</w:t>
            </w:r>
            <w:r w:rsidRPr="007221CE">
              <w:t xml:space="preserve"> </w:t>
            </w:r>
          </w:p>
        </w:tc>
      </w:tr>
      <w:tr w:rsidR="007221CE" w:rsidRPr="007221CE" w14:paraId="2C7FE5B2" w14:textId="77777777" w:rsidTr="002527A6">
        <w:trPr>
          <w:trHeight w:val="3830"/>
        </w:trPr>
        <w:tc>
          <w:tcPr>
            <w:tcW w:w="5000" w:type="pct"/>
            <w:gridSpan w:val="8"/>
            <w:hideMark/>
          </w:tcPr>
          <w:p w14:paraId="18169386" w14:textId="45B291EB" w:rsidR="00CB39AD" w:rsidRDefault="00761BE5" w:rsidP="003338FA">
            <w:pPr>
              <w:spacing w:line="276" w:lineRule="auto"/>
              <w:jc w:val="both"/>
            </w:pPr>
            <w:r w:rsidRPr="00761BE5">
              <w:t xml:space="preserve">In the role of </w:t>
            </w:r>
            <w:r w:rsidR="00770B87" w:rsidRPr="00482EAA">
              <w:t xml:space="preserve">Prudential Regulatory Liaison and Horizon Scanning </w:t>
            </w:r>
            <w:r w:rsidR="00AC4B43">
              <w:t>Specialist</w:t>
            </w:r>
            <w:r>
              <w:t>,</w:t>
            </w:r>
            <w:r w:rsidRPr="00761BE5">
              <w:t xml:space="preserve"> </w:t>
            </w:r>
            <w:r w:rsidR="00821273">
              <w:t xml:space="preserve">part of the Society’s second line of defence, </w:t>
            </w:r>
            <w:r w:rsidRPr="00761BE5">
              <w:t xml:space="preserve">you'll have responsibility for </w:t>
            </w:r>
            <w:r w:rsidR="0006769A">
              <w:t xml:space="preserve">supporting the </w:t>
            </w:r>
            <w:r w:rsidR="0006769A" w:rsidRPr="009A3C3E">
              <w:t>Prudential Regulatory Liaison and Horizon Scanning Lead</w:t>
            </w:r>
            <w:r w:rsidR="0006769A">
              <w:t xml:space="preserve"> in m</w:t>
            </w:r>
            <w:r w:rsidR="004C7C71">
              <w:t>anaging</w:t>
            </w:r>
            <w:r w:rsidR="0006769A">
              <w:t xml:space="preserve"> </w:t>
            </w:r>
            <w:r>
              <w:t xml:space="preserve">the Society’s relationship </w:t>
            </w:r>
            <w:r w:rsidR="00821273">
              <w:t xml:space="preserve">with regulatory bodies, including the PRA and wider Bank of England. </w:t>
            </w:r>
            <w:r w:rsidR="00CB39AD">
              <w:t xml:space="preserve">You will </w:t>
            </w:r>
            <w:r w:rsidR="004C7C71">
              <w:t xml:space="preserve">support in the preparation of </w:t>
            </w:r>
            <w:r w:rsidR="00CB39AD">
              <w:t xml:space="preserve">briefings to Senior Management, the Executive and Board on regulatory engagement, and </w:t>
            </w:r>
            <w:r w:rsidR="004C7C71">
              <w:t xml:space="preserve">in </w:t>
            </w:r>
            <w:r w:rsidR="00CB39AD">
              <w:t xml:space="preserve">preparations for key regulatory interactions including in relation the annual Periodic Summary Meeting (PSM), and </w:t>
            </w:r>
            <w:r w:rsidR="00EF056A">
              <w:t xml:space="preserve">monthly/quarterly updates with our </w:t>
            </w:r>
            <w:r w:rsidR="00150C1F">
              <w:t>supervisory team</w:t>
            </w:r>
            <w:r w:rsidR="00CB39AD">
              <w:t>.</w:t>
            </w:r>
            <w:r w:rsidR="00150C1F">
              <w:t xml:space="preserve"> You will support our technical specialists in preparing for key regulatory reviews such as L-SREP and C-SREP.</w:t>
            </w:r>
            <w:r w:rsidR="00CB39AD">
              <w:t xml:space="preserve"> </w:t>
            </w:r>
          </w:p>
          <w:p w14:paraId="164D734D" w14:textId="77777777" w:rsidR="00CB39AD" w:rsidRDefault="00CB39AD" w:rsidP="003338FA">
            <w:pPr>
              <w:spacing w:line="276" w:lineRule="auto"/>
              <w:jc w:val="both"/>
            </w:pPr>
          </w:p>
          <w:p w14:paraId="0FA4488C" w14:textId="42257B66" w:rsidR="007221CE" w:rsidRPr="007221CE" w:rsidRDefault="00821273" w:rsidP="003338FA">
            <w:pPr>
              <w:spacing w:line="276" w:lineRule="auto"/>
              <w:jc w:val="both"/>
            </w:pPr>
            <w:r>
              <w:t xml:space="preserve">You </w:t>
            </w:r>
            <w:r w:rsidR="00142472">
              <w:t xml:space="preserve">play a lead role in </w:t>
            </w:r>
            <w:r w:rsidR="005A4A0D">
              <w:t>undertaking</w:t>
            </w:r>
            <w:r>
              <w:t xml:space="preserve"> prudential horizon scanning activity, monitoring of UK regulatory developments and communication to key business areas</w:t>
            </w:r>
            <w:r w:rsidR="00716377">
              <w:t xml:space="preserve">. </w:t>
            </w:r>
            <w:r w:rsidR="005A4A0D">
              <w:t>You</w:t>
            </w:r>
            <w:r w:rsidR="00716377">
              <w:t xml:space="preserve"> will be required to </w:t>
            </w:r>
            <w:r w:rsidR="00CB39AD">
              <w:t>track progress against</w:t>
            </w:r>
            <w:r w:rsidR="00716377">
              <w:t xml:space="preserve"> new</w:t>
            </w:r>
            <w:r w:rsidR="00CB39AD">
              <w:t xml:space="preserve"> regulatory rules and expectations such as Supervisory Statements and Policy Statements. You will </w:t>
            </w:r>
            <w:r w:rsidR="005A4A0D">
              <w:t>support</w:t>
            </w:r>
            <w:r w:rsidR="00DB14CA">
              <w:t xml:space="preserve"> </w:t>
            </w:r>
            <w:r w:rsidR="005A4A0D">
              <w:t>in</w:t>
            </w:r>
            <w:r w:rsidR="00CB39AD">
              <w:t xml:space="preserve"> responding to Consultation Papers on regulatory change matters.</w:t>
            </w:r>
          </w:p>
        </w:tc>
      </w:tr>
      <w:tr w:rsidR="007221CE" w:rsidRPr="007221CE" w14:paraId="0DFE1FFD" w14:textId="77777777" w:rsidTr="00687ECE">
        <w:trPr>
          <w:trHeight w:val="288"/>
        </w:trPr>
        <w:tc>
          <w:tcPr>
            <w:tcW w:w="5000" w:type="pct"/>
            <w:gridSpan w:val="8"/>
            <w:shd w:val="clear" w:color="auto" w:fill="8DB3E2" w:themeFill="text2" w:themeFillTint="66"/>
            <w:noWrap/>
            <w:hideMark/>
          </w:tcPr>
          <w:p w14:paraId="419BB867" w14:textId="77777777" w:rsidR="007221CE" w:rsidRPr="007221CE" w:rsidRDefault="007221CE">
            <w:r w:rsidRPr="007221CE">
              <w:rPr>
                <w:b/>
                <w:bCs/>
              </w:rPr>
              <w:t>ABOUT YOU</w:t>
            </w:r>
            <w:r w:rsidRPr="007221CE">
              <w:t xml:space="preserve"> </w:t>
            </w:r>
          </w:p>
        </w:tc>
      </w:tr>
      <w:tr w:rsidR="007221CE" w:rsidRPr="007221CE" w14:paraId="387B5B8E" w14:textId="77777777" w:rsidTr="002527A6">
        <w:trPr>
          <w:trHeight w:val="2529"/>
        </w:trPr>
        <w:tc>
          <w:tcPr>
            <w:tcW w:w="5000" w:type="pct"/>
            <w:gridSpan w:val="8"/>
            <w:hideMark/>
          </w:tcPr>
          <w:p w14:paraId="6A98235A" w14:textId="77777777" w:rsidR="00CB39AD" w:rsidRDefault="00CB39AD" w:rsidP="003338FA">
            <w:pPr>
              <w:jc w:val="both"/>
              <w:rPr>
                <w:rFonts w:ascii="Calibri" w:eastAsia="Calibri" w:hAnsi="Calibri" w:cs="Times New Roman"/>
                <w:lang w:val="en"/>
              </w:rPr>
            </w:pPr>
          </w:p>
          <w:p w14:paraId="384C8CC2" w14:textId="25201252" w:rsidR="00182497" w:rsidRDefault="00182497" w:rsidP="003338FA">
            <w:pPr>
              <w:jc w:val="both"/>
              <w:rPr>
                <w:rFonts w:ascii="Calibri" w:eastAsia="Calibri" w:hAnsi="Calibri" w:cs="Times New Roman"/>
                <w:lang w:val="en"/>
              </w:rPr>
            </w:pPr>
            <w:r w:rsidRPr="00182497">
              <w:rPr>
                <w:rFonts w:ascii="Calibri" w:eastAsia="Calibri" w:hAnsi="Calibri" w:cs="Times New Roman"/>
                <w:lang w:val="en"/>
              </w:rPr>
              <w:t>You’ll be delivering quality written work on some technical areas to an audience that includes Executive and Board members.  You</w:t>
            </w:r>
            <w:r w:rsidR="00C27160">
              <w:rPr>
                <w:rFonts w:ascii="Calibri" w:eastAsia="Calibri" w:hAnsi="Calibri" w:cs="Times New Roman"/>
                <w:lang w:val="en"/>
              </w:rPr>
              <w:t>’</w:t>
            </w:r>
            <w:r w:rsidRPr="00182497">
              <w:rPr>
                <w:rFonts w:ascii="Calibri" w:eastAsia="Calibri" w:hAnsi="Calibri" w:cs="Times New Roman"/>
                <w:lang w:val="en"/>
              </w:rPr>
              <w:t>ll be highly organised, able to track a range of ongoing deadlines and information</w:t>
            </w:r>
            <w:r w:rsidR="00756750">
              <w:rPr>
                <w:rFonts w:ascii="Calibri" w:eastAsia="Calibri" w:hAnsi="Calibri" w:cs="Times New Roman"/>
                <w:lang w:val="en"/>
              </w:rPr>
              <w:t>,</w:t>
            </w:r>
            <w:r w:rsidRPr="00182497">
              <w:rPr>
                <w:rFonts w:ascii="Calibri" w:eastAsia="Calibri" w:hAnsi="Calibri" w:cs="Times New Roman"/>
                <w:lang w:val="en"/>
              </w:rPr>
              <w:t xml:space="preserve"> as well as remaining professional at all times, having access to highly sensitive information.</w:t>
            </w:r>
          </w:p>
          <w:p w14:paraId="01EB56F5" w14:textId="77777777" w:rsidR="00CB39AD" w:rsidRPr="00182497" w:rsidRDefault="00CB39AD" w:rsidP="003338FA">
            <w:pPr>
              <w:jc w:val="both"/>
              <w:rPr>
                <w:rFonts w:ascii="Calibri" w:eastAsia="Calibri" w:hAnsi="Calibri" w:cs="Times New Roman"/>
                <w:lang w:val="en"/>
              </w:rPr>
            </w:pPr>
          </w:p>
          <w:p w14:paraId="6BC0CAF0" w14:textId="1551ADDA" w:rsidR="00182497" w:rsidRDefault="00182497" w:rsidP="003338FA">
            <w:pPr>
              <w:jc w:val="both"/>
              <w:rPr>
                <w:rFonts w:ascii="Calibri" w:eastAsia="Calibri" w:hAnsi="Calibri" w:cs="Times New Roman"/>
                <w:lang w:val="en"/>
              </w:rPr>
            </w:pPr>
            <w:r w:rsidRPr="00182497">
              <w:rPr>
                <w:rFonts w:ascii="Calibri" w:eastAsia="Calibri" w:hAnsi="Calibri" w:cs="Times New Roman"/>
                <w:lang w:val="en"/>
              </w:rPr>
              <w:t xml:space="preserve">You’ll be proficient in summarising complex concepts in an easily understandable and simple </w:t>
            </w:r>
            <w:r w:rsidR="00770B87" w:rsidRPr="00182497">
              <w:rPr>
                <w:rFonts w:ascii="Calibri" w:eastAsia="Calibri" w:hAnsi="Calibri" w:cs="Times New Roman"/>
                <w:lang w:val="en"/>
              </w:rPr>
              <w:t>way and</w:t>
            </w:r>
            <w:r w:rsidRPr="00182497">
              <w:rPr>
                <w:rFonts w:ascii="Calibri" w:eastAsia="Calibri" w:hAnsi="Calibri" w:cs="Times New Roman"/>
                <w:lang w:val="en"/>
              </w:rPr>
              <w:t xml:space="preserve"> extracting what matters most.</w:t>
            </w:r>
          </w:p>
          <w:p w14:paraId="39A0A48D" w14:textId="77777777" w:rsidR="00CB39AD" w:rsidRPr="00182497" w:rsidRDefault="00CB39AD" w:rsidP="003338FA">
            <w:pPr>
              <w:jc w:val="both"/>
              <w:rPr>
                <w:rFonts w:ascii="Calibri" w:eastAsia="Calibri" w:hAnsi="Calibri" w:cs="Times New Roman"/>
                <w:lang w:val="en"/>
              </w:rPr>
            </w:pPr>
          </w:p>
          <w:p w14:paraId="5E363892" w14:textId="79873E4D" w:rsidR="00182497" w:rsidRDefault="00182497" w:rsidP="003338FA">
            <w:pPr>
              <w:jc w:val="both"/>
              <w:rPr>
                <w:rFonts w:ascii="Calibri" w:eastAsia="Calibri" w:hAnsi="Calibri" w:cs="Times New Roman"/>
                <w:lang w:val="en"/>
              </w:rPr>
            </w:pPr>
            <w:r w:rsidRPr="00182497">
              <w:rPr>
                <w:rFonts w:ascii="Calibri" w:eastAsia="Calibri" w:hAnsi="Calibri" w:cs="Times New Roman"/>
                <w:lang w:val="en"/>
              </w:rPr>
              <w:t xml:space="preserve">You’ll have good regulatory knowledge in a </w:t>
            </w:r>
            <w:r w:rsidRPr="00387F21">
              <w:rPr>
                <w:rFonts w:ascii="Calibri" w:eastAsia="Calibri" w:hAnsi="Calibri" w:cs="Times New Roman"/>
                <w:lang w:val="en"/>
              </w:rPr>
              <w:t>number of key prudential</w:t>
            </w:r>
            <w:r w:rsidRPr="00182497">
              <w:rPr>
                <w:rFonts w:ascii="Calibri" w:eastAsia="Calibri" w:hAnsi="Calibri" w:cs="Times New Roman"/>
                <w:lang w:val="en"/>
              </w:rPr>
              <w:t xml:space="preserve"> areas such as capital and liquidity and a strong grasp of the regulatory process as applied by regulator</w:t>
            </w:r>
            <w:r w:rsidR="00CB39AD">
              <w:rPr>
                <w:rFonts w:ascii="Calibri" w:eastAsia="Calibri" w:hAnsi="Calibri" w:cs="Times New Roman"/>
                <w:lang w:val="en"/>
              </w:rPr>
              <w:t>s, and the regulatory framework in the UK.</w:t>
            </w:r>
          </w:p>
          <w:p w14:paraId="03A2C898" w14:textId="77777777" w:rsidR="005A6754" w:rsidRDefault="005A6754" w:rsidP="003338FA">
            <w:pPr>
              <w:jc w:val="both"/>
              <w:rPr>
                <w:rFonts w:ascii="Calibri" w:eastAsia="Calibri" w:hAnsi="Calibri" w:cs="Times New Roman"/>
                <w:lang w:val="en"/>
              </w:rPr>
            </w:pPr>
          </w:p>
          <w:p w14:paraId="7B44BC57" w14:textId="546DF7B6" w:rsidR="005A6754" w:rsidRPr="00182497" w:rsidRDefault="005A6754" w:rsidP="003338FA">
            <w:pPr>
              <w:jc w:val="both"/>
              <w:rPr>
                <w:rFonts w:ascii="Calibri" w:eastAsia="Calibri" w:hAnsi="Calibri" w:cs="Times New Roman"/>
                <w:lang w:val="en"/>
              </w:rPr>
            </w:pPr>
          </w:p>
          <w:p w14:paraId="691DD4D8" w14:textId="348DA054" w:rsidR="007221CE" w:rsidRPr="007221CE" w:rsidRDefault="007221CE" w:rsidP="00761BE5"/>
        </w:tc>
      </w:tr>
      <w:tr w:rsidR="007221CE" w:rsidRPr="007221CE" w14:paraId="54C0B64F" w14:textId="77777777" w:rsidTr="00687ECE">
        <w:trPr>
          <w:trHeight w:val="288"/>
        </w:trPr>
        <w:tc>
          <w:tcPr>
            <w:tcW w:w="5000" w:type="pct"/>
            <w:gridSpan w:val="8"/>
            <w:shd w:val="clear" w:color="auto" w:fill="8DB3E2" w:themeFill="text2" w:themeFillTint="66"/>
            <w:noWrap/>
            <w:hideMark/>
          </w:tcPr>
          <w:p w14:paraId="6F741E71" w14:textId="77777777" w:rsidR="007221CE" w:rsidRPr="007221CE" w:rsidRDefault="007221CE" w:rsidP="009A609E">
            <w:r w:rsidRPr="009A609E">
              <w:rPr>
                <w:b/>
              </w:rPr>
              <w:t>R</w:t>
            </w:r>
            <w:r w:rsidR="009A609E">
              <w:rPr>
                <w:b/>
              </w:rPr>
              <w:t>EQUIREMENTS</w:t>
            </w:r>
            <w:r w:rsidRPr="009A609E">
              <w:rPr>
                <w:b/>
              </w:rPr>
              <w:t xml:space="preserve">: </w:t>
            </w:r>
          </w:p>
        </w:tc>
      </w:tr>
      <w:tr w:rsidR="007221CE" w:rsidRPr="007221CE" w14:paraId="7F8E9DE8" w14:textId="77777777" w:rsidTr="002527A6">
        <w:trPr>
          <w:trHeight w:val="3519"/>
        </w:trPr>
        <w:tc>
          <w:tcPr>
            <w:tcW w:w="5000" w:type="pct"/>
            <w:gridSpan w:val="8"/>
          </w:tcPr>
          <w:p w14:paraId="0C98846F" w14:textId="7A3CE8C3" w:rsidR="00CB39AD" w:rsidRDefault="00761BE5" w:rsidP="003338FA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val="en"/>
              </w:rPr>
            </w:pPr>
            <w:r w:rsidRPr="00182497">
              <w:rPr>
                <w:rFonts w:ascii="Calibri" w:eastAsia="Calibri" w:hAnsi="Calibri" w:cs="Times New Roman"/>
                <w:lang w:val="en"/>
              </w:rPr>
              <w:t>Previous experience is required in a financial services firm</w:t>
            </w:r>
            <w:r>
              <w:rPr>
                <w:rFonts w:ascii="Calibri" w:eastAsia="Calibri" w:hAnsi="Calibri" w:cs="Times New Roman"/>
                <w:lang w:val="en"/>
              </w:rPr>
              <w:t>,</w:t>
            </w:r>
            <w:r w:rsidRPr="003338FA">
              <w:rPr>
                <w:rFonts w:ascii="Calibri" w:eastAsia="Calibri" w:hAnsi="Calibri" w:cs="Times New Roman"/>
                <w:lang w:val="en"/>
              </w:rPr>
              <w:t xml:space="preserve"> </w:t>
            </w:r>
            <w:r w:rsidRPr="00761BE5">
              <w:rPr>
                <w:rFonts w:ascii="Calibri" w:eastAsia="Calibri" w:hAnsi="Calibri" w:cs="Times New Roman"/>
                <w:lang w:val="en"/>
              </w:rPr>
              <w:t>with</w:t>
            </w:r>
            <w:r w:rsidRPr="00182497">
              <w:rPr>
                <w:rFonts w:ascii="Calibri" w:eastAsia="Calibri" w:hAnsi="Calibri" w:cs="Times New Roman"/>
                <w:lang w:val="en"/>
              </w:rPr>
              <w:t xml:space="preserve"> experience of </w:t>
            </w:r>
            <w:r w:rsidRPr="00761BE5">
              <w:rPr>
                <w:rFonts w:ascii="Calibri" w:eastAsia="Calibri" w:hAnsi="Calibri" w:cs="Times New Roman"/>
                <w:lang w:val="en"/>
              </w:rPr>
              <w:t xml:space="preserve">dealing with </w:t>
            </w:r>
            <w:r w:rsidRPr="003338FA">
              <w:rPr>
                <w:rFonts w:ascii="Calibri" w:eastAsia="Calibri" w:hAnsi="Calibri" w:cs="Times New Roman"/>
                <w:lang w:val="en"/>
              </w:rPr>
              <w:t>regulatory bodies, including the PRA and wider Bank of England. Successful track record of effective communication and engagement at Senior Management, including supporting readiness for key regulatory visits</w:t>
            </w:r>
            <w:r w:rsidR="00B629CC">
              <w:rPr>
                <w:rFonts w:ascii="Calibri" w:eastAsia="Calibri" w:hAnsi="Calibri" w:cs="Times New Roman"/>
                <w:lang w:val="en"/>
              </w:rPr>
              <w:t>.</w:t>
            </w:r>
            <w:r w:rsidR="00CB39AD">
              <w:rPr>
                <w:rFonts w:ascii="Calibri" w:eastAsia="Calibri" w:hAnsi="Calibri" w:cs="Times New Roman"/>
                <w:lang w:val="en"/>
              </w:rPr>
              <w:t>.</w:t>
            </w:r>
          </w:p>
          <w:p w14:paraId="3798E4CF" w14:textId="041BFA8E" w:rsidR="00761BE5" w:rsidRPr="007221CE" w:rsidRDefault="00761BE5" w:rsidP="003338FA">
            <w:pPr>
              <w:spacing w:after="200" w:line="276" w:lineRule="auto"/>
              <w:jc w:val="both"/>
            </w:pPr>
            <w:r w:rsidRPr="003338FA">
              <w:rPr>
                <w:rFonts w:ascii="Calibri" w:eastAsia="Calibri" w:hAnsi="Calibri" w:cs="Times New Roman"/>
                <w:lang w:val="en"/>
              </w:rPr>
              <w:t xml:space="preserve">Commercially aware and educated to degree (or equivalent) standard or with relevant professional qualifications. </w:t>
            </w:r>
            <w:r w:rsidR="00CB39AD">
              <w:rPr>
                <w:rFonts w:ascii="Calibri" w:eastAsia="Calibri" w:hAnsi="Calibri" w:cs="Times New Roman"/>
                <w:lang w:val="en"/>
              </w:rPr>
              <w:t xml:space="preserve">You will also have experience of </w:t>
            </w:r>
            <w:r w:rsidR="003B39D1">
              <w:rPr>
                <w:rFonts w:ascii="Calibri" w:eastAsia="Calibri" w:hAnsi="Calibri" w:cs="Times New Roman"/>
                <w:lang w:val="en"/>
              </w:rPr>
              <w:t xml:space="preserve">performing </w:t>
            </w:r>
            <w:r w:rsidR="00CB39AD">
              <w:rPr>
                <w:rFonts w:ascii="Calibri" w:eastAsia="Calibri" w:hAnsi="Calibri" w:cs="Times New Roman"/>
                <w:lang w:val="en"/>
              </w:rPr>
              <w:t>horizon scanning activity, including identifying impacts, communicating these effectively and tracking progress against regulatory rules, regulations and expectations</w:t>
            </w:r>
            <w:r w:rsidR="00E64CBC">
              <w:rPr>
                <w:rFonts w:ascii="Calibri" w:eastAsia="Calibri" w:hAnsi="Calibri" w:cs="Times New Roman"/>
                <w:lang w:val="en"/>
              </w:rPr>
              <w:t>.</w:t>
            </w:r>
          </w:p>
        </w:tc>
      </w:tr>
    </w:tbl>
    <w:p w14:paraId="1D4CCB2A" w14:textId="77777777" w:rsidR="009A609E" w:rsidRDefault="009A609E"/>
    <w:p w14:paraId="6BD39C9F" w14:textId="4067D049" w:rsidR="007221CE" w:rsidRDefault="007221CE"/>
    <w:tbl>
      <w:tblPr>
        <w:tblStyle w:val="TableGrid"/>
        <w:tblW w:w="10208" w:type="dxa"/>
        <w:tblInd w:w="-459" w:type="dxa"/>
        <w:tblLook w:val="04A0" w:firstRow="1" w:lastRow="0" w:firstColumn="1" w:lastColumn="0" w:noHBand="0" w:noVBand="1"/>
      </w:tblPr>
      <w:tblGrid>
        <w:gridCol w:w="1881"/>
        <w:gridCol w:w="8327"/>
      </w:tblGrid>
      <w:tr w:rsidR="007221CE" w:rsidRPr="007221CE" w14:paraId="32BAE092" w14:textId="77777777" w:rsidTr="00687ECE">
        <w:trPr>
          <w:trHeight w:val="288"/>
        </w:trPr>
        <w:tc>
          <w:tcPr>
            <w:tcW w:w="10208" w:type="dxa"/>
            <w:gridSpan w:val="2"/>
            <w:shd w:val="clear" w:color="auto" w:fill="8DB3E2" w:themeFill="text2" w:themeFillTint="66"/>
            <w:noWrap/>
            <w:hideMark/>
          </w:tcPr>
          <w:p w14:paraId="302C68BD" w14:textId="77777777" w:rsidR="007221CE" w:rsidRPr="007221CE" w:rsidRDefault="007221CE">
            <w:r w:rsidRPr="007221CE">
              <w:rPr>
                <w:b/>
                <w:bCs/>
              </w:rPr>
              <w:t>YOUR KEY RESPONSIBILITIES</w:t>
            </w:r>
            <w:r w:rsidRPr="007221CE">
              <w:t>. (Additional detailed performance objectives will be set by your manager)</w:t>
            </w:r>
          </w:p>
        </w:tc>
      </w:tr>
      <w:tr w:rsidR="008B6FD3" w:rsidRPr="007221CE" w14:paraId="7B0CAC29" w14:textId="77777777" w:rsidTr="007221CE">
        <w:trPr>
          <w:trHeight w:val="1500"/>
        </w:trPr>
        <w:tc>
          <w:tcPr>
            <w:tcW w:w="1881" w:type="dxa"/>
          </w:tcPr>
          <w:p w14:paraId="46460693" w14:textId="77777777" w:rsidR="008B6FD3" w:rsidRPr="007221CE" w:rsidRDefault="008B6FD3" w:rsidP="003338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General Profile</w:t>
            </w:r>
          </w:p>
        </w:tc>
        <w:tc>
          <w:tcPr>
            <w:tcW w:w="8327" w:type="dxa"/>
          </w:tcPr>
          <w:p w14:paraId="6487A771" w14:textId="6732C806" w:rsidR="00821273" w:rsidRDefault="00821273" w:rsidP="003338F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>
              <w:t>Strong</w:t>
            </w:r>
            <w:r w:rsidR="00182497">
              <w:t xml:space="preserve"> understanding</w:t>
            </w:r>
            <w:r>
              <w:t xml:space="preserve"> </w:t>
            </w:r>
            <w:r w:rsidR="00182497">
              <w:t xml:space="preserve">of </w:t>
            </w:r>
            <w:r>
              <w:t>PRA (prudential) regulatory requirements.</w:t>
            </w:r>
          </w:p>
          <w:p w14:paraId="579497F1" w14:textId="69AE4AEC" w:rsidR="00182497" w:rsidRDefault="00E27E3E" w:rsidP="003338FA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Good </w:t>
            </w:r>
            <w:r w:rsidR="00821273">
              <w:t>understanding of the</w:t>
            </w:r>
            <w:r w:rsidR="00182497">
              <w:t xml:space="preserve"> impact of regulatory change on </w:t>
            </w:r>
            <w:r w:rsidR="00821273">
              <w:t>the Society</w:t>
            </w:r>
            <w:r w:rsidR="00182497">
              <w:t>.</w:t>
            </w:r>
          </w:p>
          <w:p w14:paraId="5FA1246A" w14:textId="5E7D27BC" w:rsidR="00182497" w:rsidRDefault="00182497" w:rsidP="003338FA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A clear ability to assess and apply, as necessary to the Society, changes to existing </w:t>
            </w:r>
            <w:r w:rsidR="00821273">
              <w:t>regulatory</w:t>
            </w:r>
            <w:r>
              <w:t xml:space="preserve"> requirements and new regulation</w:t>
            </w:r>
            <w:r w:rsidR="00821273">
              <w:t>.</w:t>
            </w:r>
          </w:p>
          <w:p w14:paraId="234C23D5" w14:textId="1BF49F7D" w:rsidR="00182497" w:rsidRDefault="00821273" w:rsidP="003338F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>
              <w:t>Strong</w:t>
            </w:r>
            <w:r w:rsidR="00182497">
              <w:t xml:space="preserve"> report </w:t>
            </w:r>
            <w:r>
              <w:t xml:space="preserve">/ paper </w:t>
            </w:r>
            <w:r w:rsidR="00182497">
              <w:t>writing skills with the ability to explain complex concepts in an easily digestible way</w:t>
            </w:r>
            <w:r>
              <w:t>.</w:t>
            </w:r>
          </w:p>
          <w:p w14:paraId="129734A9" w14:textId="3F9855A1" w:rsidR="003338FA" w:rsidRPr="003338FA" w:rsidRDefault="004975F0" w:rsidP="003338F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>
              <w:rPr>
                <w:rFonts w:ascii="Calibri" w:hAnsi="Calibri" w:cs="Tahoma"/>
                <w:snapToGrid w:val="0"/>
                <w:color w:val="000000"/>
              </w:rPr>
              <w:t>Support in</w:t>
            </w:r>
            <w:r w:rsidRPr="003338FA">
              <w:rPr>
                <w:rFonts w:ascii="Calibri" w:hAnsi="Calibri" w:cs="Tahoma"/>
                <w:snapToGrid w:val="0"/>
                <w:color w:val="000000"/>
              </w:rPr>
              <w:t xml:space="preserve"> </w:t>
            </w:r>
            <w:r w:rsidR="003338FA" w:rsidRPr="003338FA">
              <w:rPr>
                <w:rFonts w:ascii="Calibri" w:hAnsi="Calibri" w:cs="Tahoma"/>
                <w:snapToGrid w:val="0"/>
                <w:color w:val="000000"/>
              </w:rPr>
              <w:t>preparations for PRA assessments (SREPs/PSM/C&amp;C including monthly and quarterly meetings). This includes leading briefings to Executive and Board members.</w:t>
            </w:r>
          </w:p>
          <w:p w14:paraId="371E4434" w14:textId="6E94BF08" w:rsidR="003338FA" w:rsidRPr="003338FA" w:rsidRDefault="004975F0" w:rsidP="003338F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Support </w:t>
            </w:r>
            <w:r w:rsidR="009A3C3E">
              <w:rPr>
                <w:rFonts w:ascii="Calibri" w:hAnsi="Calibri" w:cs="Calibri"/>
              </w:rPr>
              <w:t xml:space="preserve">in </w:t>
            </w:r>
            <w:r w:rsidR="009A3C3E" w:rsidRPr="003338FA">
              <w:rPr>
                <w:rFonts w:ascii="Calibri" w:hAnsi="Calibri" w:cs="Calibri"/>
              </w:rPr>
              <w:t>the</w:t>
            </w:r>
            <w:r w:rsidR="003338FA" w:rsidRPr="003338FA">
              <w:rPr>
                <w:rFonts w:ascii="Calibri" w:hAnsi="Calibri" w:cs="Calibri"/>
              </w:rPr>
              <w:t xml:space="preserve"> co-ordination of Society responses to consultation papers</w:t>
            </w:r>
            <w:r w:rsidR="00C13716">
              <w:rPr>
                <w:rFonts w:ascii="Calibri" w:hAnsi="Calibri" w:cs="Calibri"/>
              </w:rPr>
              <w:t>.</w:t>
            </w:r>
          </w:p>
          <w:p w14:paraId="2ACDA707" w14:textId="36600034" w:rsidR="00821273" w:rsidRDefault="00821273" w:rsidP="003338FA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Strong commercial awareness</w:t>
            </w:r>
            <w:r w:rsidR="003338FA">
              <w:t>.</w:t>
            </w:r>
            <w:r>
              <w:t xml:space="preserve"> </w:t>
            </w:r>
          </w:p>
          <w:p w14:paraId="0776FE76" w14:textId="7CF1160E" w:rsidR="008B6FD3" w:rsidRPr="007221CE" w:rsidRDefault="00182497" w:rsidP="003338F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>
              <w:t>High attention to detail</w:t>
            </w:r>
            <w:r w:rsidR="00821273">
              <w:t>.</w:t>
            </w:r>
          </w:p>
        </w:tc>
      </w:tr>
      <w:tr w:rsidR="0030430B" w:rsidRPr="007221CE" w14:paraId="29B01F88" w14:textId="77777777" w:rsidTr="007221CE">
        <w:trPr>
          <w:trHeight w:val="1500"/>
        </w:trPr>
        <w:tc>
          <w:tcPr>
            <w:tcW w:w="1881" w:type="dxa"/>
            <w:hideMark/>
          </w:tcPr>
          <w:p w14:paraId="3035A30C" w14:textId="77777777" w:rsidR="0030430B" w:rsidRPr="007221CE" w:rsidRDefault="0030430B" w:rsidP="003338FA">
            <w:pPr>
              <w:jc w:val="both"/>
              <w:rPr>
                <w:b/>
                <w:bCs/>
              </w:rPr>
            </w:pPr>
            <w:r w:rsidRPr="007221CE">
              <w:rPr>
                <w:b/>
                <w:bCs/>
              </w:rPr>
              <w:t>People &amp; Relationships</w:t>
            </w:r>
          </w:p>
        </w:tc>
        <w:tc>
          <w:tcPr>
            <w:tcW w:w="8327" w:type="dxa"/>
          </w:tcPr>
          <w:p w14:paraId="3AE052A5" w14:textId="708ADE58" w:rsidR="004C6365" w:rsidRPr="00761BE5" w:rsidRDefault="00821273" w:rsidP="003338F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>
              <w:t>Strong</w:t>
            </w:r>
            <w:r w:rsidR="004C6365" w:rsidRPr="00137A81">
              <w:t xml:space="preserve"> relationships with key </w:t>
            </w:r>
            <w:r w:rsidR="00761BE5">
              <w:t>internal s</w:t>
            </w:r>
            <w:r w:rsidR="004C6365" w:rsidRPr="00137A81">
              <w:t>takeholders</w:t>
            </w:r>
            <w:r w:rsidR="00761BE5">
              <w:t xml:space="preserve">, including Senior Management, Executive and </w:t>
            </w:r>
            <w:r w:rsidR="00761BE5" w:rsidRPr="00761BE5">
              <w:rPr>
                <w:rFonts w:ascii="Calibri" w:hAnsi="Calibri" w:cs="Tahoma"/>
                <w:snapToGrid w:val="0"/>
                <w:color w:val="000000"/>
              </w:rPr>
              <w:t>Board</w:t>
            </w:r>
            <w:r w:rsidR="00761BE5">
              <w:rPr>
                <w:rFonts w:ascii="Calibri" w:hAnsi="Calibri" w:cs="Tahoma"/>
                <w:snapToGrid w:val="0"/>
                <w:color w:val="000000"/>
              </w:rPr>
              <w:t>.</w:t>
            </w:r>
          </w:p>
          <w:p w14:paraId="25537DBE" w14:textId="68AE7C2E" w:rsidR="00761BE5" w:rsidRDefault="00C227B0" w:rsidP="003338F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>
              <w:t>Support in the maintaining</w:t>
            </w:r>
            <w:r w:rsidR="00761BE5">
              <w:t xml:space="preserve"> strong relationships with regulatory bodies, including the PRA and Bank of England, acting as a </w:t>
            </w:r>
            <w:r>
              <w:t xml:space="preserve">deputy for the Prudential Regulatory Liaison &amp; </w:t>
            </w:r>
            <w:r w:rsidR="001F7BD4">
              <w:t>Horizon</w:t>
            </w:r>
            <w:r>
              <w:t xml:space="preserve"> Scanning Lead</w:t>
            </w:r>
            <w:r w:rsidR="00761BE5">
              <w:t xml:space="preserve">. </w:t>
            </w:r>
          </w:p>
          <w:p w14:paraId="5C6D3E1D" w14:textId="77777777" w:rsidR="003338FA" w:rsidRDefault="003338FA" w:rsidP="003338FA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Clear and concise communication skills with experience of writing updates and presenting successfully to Senior Management, Executive and the Board at committees. </w:t>
            </w:r>
          </w:p>
          <w:p w14:paraId="14BCCA78" w14:textId="2456A99E" w:rsidR="0030430B" w:rsidRDefault="004C6365" w:rsidP="003338F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137A81">
              <w:t>Constructively challenge colleagues in a fair and balanced way</w:t>
            </w:r>
            <w:r w:rsidR="00821273">
              <w:t>.</w:t>
            </w:r>
          </w:p>
        </w:tc>
      </w:tr>
      <w:tr w:rsidR="0030430B" w:rsidRPr="007221CE" w14:paraId="1A521817" w14:textId="77777777" w:rsidTr="007221CE">
        <w:trPr>
          <w:trHeight w:val="1500"/>
        </w:trPr>
        <w:tc>
          <w:tcPr>
            <w:tcW w:w="1881" w:type="dxa"/>
            <w:hideMark/>
          </w:tcPr>
          <w:p w14:paraId="64B67840" w14:textId="77777777" w:rsidR="0030430B" w:rsidRPr="007221CE" w:rsidRDefault="0030430B" w:rsidP="003338FA">
            <w:pPr>
              <w:jc w:val="both"/>
              <w:rPr>
                <w:b/>
                <w:bCs/>
              </w:rPr>
            </w:pPr>
            <w:r w:rsidRPr="007221CE">
              <w:rPr>
                <w:b/>
                <w:bCs/>
              </w:rPr>
              <w:t>Governance, Risk &amp; Controls</w:t>
            </w:r>
          </w:p>
        </w:tc>
        <w:tc>
          <w:tcPr>
            <w:tcW w:w="8327" w:type="dxa"/>
          </w:tcPr>
          <w:p w14:paraId="2511A5FD" w14:textId="246F6E5B" w:rsidR="004C6365" w:rsidRPr="00116F0D" w:rsidRDefault="004C6365" w:rsidP="003338F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116F0D">
              <w:t>Track all regulatory engagement requirements, information requests and actions</w:t>
            </w:r>
            <w:r w:rsidR="003338FA">
              <w:t>.</w:t>
            </w:r>
          </w:p>
          <w:p w14:paraId="473012E8" w14:textId="3BAA7120" w:rsidR="0030430B" w:rsidRDefault="004C6365" w:rsidP="003338F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116F0D">
              <w:t xml:space="preserve">Provide assurance on the operation </w:t>
            </w:r>
            <w:r w:rsidR="003338FA" w:rsidRPr="00116F0D">
              <w:t xml:space="preserve">of </w:t>
            </w:r>
            <w:r w:rsidR="003338FA">
              <w:t>risk</w:t>
            </w:r>
            <w:r w:rsidRPr="00116F0D">
              <w:t xml:space="preserve"> management arrangements and controls</w:t>
            </w:r>
            <w:r w:rsidR="003338FA">
              <w:t>.</w:t>
            </w:r>
          </w:p>
        </w:tc>
      </w:tr>
      <w:tr w:rsidR="007221CE" w:rsidRPr="007221CE" w14:paraId="4CE230D0" w14:textId="77777777" w:rsidTr="007221CE">
        <w:trPr>
          <w:trHeight w:val="1500"/>
        </w:trPr>
        <w:tc>
          <w:tcPr>
            <w:tcW w:w="1881" w:type="dxa"/>
            <w:hideMark/>
          </w:tcPr>
          <w:p w14:paraId="5A72DA9C" w14:textId="77777777" w:rsidR="007221CE" w:rsidRPr="007221CE" w:rsidRDefault="007221CE" w:rsidP="003338FA">
            <w:pPr>
              <w:jc w:val="both"/>
              <w:rPr>
                <w:b/>
                <w:bCs/>
              </w:rPr>
            </w:pPr>
            <w:r w:rsidRPr="007221CE">
              <w:rPr>
                <w:b/>
                <w:bCs/>
              </w:rPr>
              <w:t>Impact, Scale &amp; Influence</w:t>
            </w:r>
          </w:p>
        </w:tc>
        <w:tc>
          <w:tcPr>
            <w:tcW w:w="8327" w:type="dxa"/>
          </w:tcPr>
          <w:p w14:paraId="169C6BC5" w14:textId="77777777" w:rsidR="003338FA" w:rsidRDefault="003338FA" w:rsidP="003338FA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Ability to work with all levels including Executive and Board, giving concise, understandable direction.</w:t>
            </w:r>
          </w:p>
          <w:p w14:paraId="4AF723EC" w14:textId="0E169D61" w:rsidR="004C6365" w:rsidRPr="00116F0D" w:rsidRDefault="003338FA" w:rsidP="003338F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</w:pPr>
            <w:r>
              <w:t>P</w:t>
            </w:r>
            <w:r w:rsidR="004C6365" w:rsidRPr="00116F0D">
              <w:t xml:space="preserve">repare papers for committees and meetings to update on regulatory engagement and horizon scanning matters, and ensure stakeholders are actioning activity where required. </w:t>
            </w:r>
          </w:p>
          <w:p w14:paraId="03396B9E" w14:textId="3713293D" w:rsidR="007221CE" w:rsidRPr="007221CE" w:rsidRDefault="004C6365" w:rsidP="003338F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</w:pPr>
            <w:r w:rsidRPr="00116F0D">
              <w:t>To ensure horizon scanning</w:t>
            </w:r>
            <w:r w:rsidR="00D80A3F">
              <w:t xml:space="preserve"> </w:t>
            </w:r>
            <w:r w:rsidR="00EB627B">
              <w:t>is</w:t>
            </w:r>
            <w:r w:rsidR="00EB627B" w:rsidRPr="00116F0D">
              <w:t xml:space="preserve"> appropriately</w:t>
            </w:r>
            <w:r w:rsidRPr="00116F0D">
              <w:t xml:space="preserve"> tailored to stakeholder</w:t>
            </w:r>
            <w:r w:rsidR="00D80A3F">
              <w:t>s</w:t>
            </w:r>
            <w:r w:rsidR="00594D0B">
              <w:t xml:space="preserve"> This includes</w:t>
            </w:r>
            <w:r w:rsidR="00882F9C">
              <w:t xml:space="preserve"> supporting in the preparation and presentation of</w:t>
            </w:r>
            <w:r w:rsidR="00594D0B">
              <w:t xml:space="preserve"> updates to Senior Committees, including Board Risk Committee and Executive Risk Committee.</w:t>
            </w:r>
          </w:p>
        </w:tc>
      </w:tr>
      <w:tr w:rsidR="007221CE" w:rsidRPr="007221CE" w14:paraId="2AA6FA85" w14:textId="77777777" w:rsidTr="007221CE">
        <w:trPr>
          <w:trHeight w:val="1500"/>
        </w:trPr>
        <w:tc>
          <w:tcPr>
            <w:tcW w:w="1881" w:type="dxa"/>
            <w:hideMark/>
          </w:tcPr>
          <w:p w14:paraId="1C77800C" w14:textId="77777777" w:rsidR="007221CE" w:rsidRPr="007221CE" w:rsidRDefault="007221CE" w:rsidP="003338FA">
            <w:pPr>
              <w:jc w:val="both"/>
              <w:rPr>
                <w:b/>
                <w:bCs/>
              </w:rPr>
            </w:pPr>
            <w:r w:rsidRPr="007221CE">
              <w:rPr>
                <w:b/>
                <w:bCs/>
              </w:rPr>
              <w:t xml:space="preserve">Decision Making / Problem Solving </w:t>
            </w:r>
          </w:p>
        </w:tc>
        <w:tc>
          <w:tcPr>
            <w:tcW w:w="8327" w:type="dxa"/>
          </w:tcPr>
          <w:p w14:paraId="78EA20A3" w14:textId="5059E9E9" w:rsidR="004C6365" w:rsidRPr="00116F0D" w:rsidRDefault="004C6365" w:rsidP="003338F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</w:pPr>
            <w:r w:rsidRPr="00116F0D">
              <w:t>To consider a variety of stakeholder views and make independent judgements</w:t>
            </w:r>
            <w:r w:rsidR="003338FA">
              <w:t>.</w:t>
            </w:r>
          </w:p>
          <w:p w14:paraId="6F10FFEA" w14:textId="77777777" w:rsidR="007221CE" w:rsidRDefault="004C6365" w:rsidP="003338FA">
            <w:pPr>
              <w:pStyle w:val="ListParagraph"/>
              <w:numPr>
                <w:ilvl w:val="0"/>
                <w:numId w:val="5"/>
              </w:numPr>
              <w:jc w:val="both"/>
            </w:pPr>
            <w:r w:rsidRPr="00116F0D">
              <w:t>To be a good facilitator but also come up with practical solutions</w:t>
            </w:r>
            <w:r w:rsidR="003338FA">
              <w:t>.</w:t>
            </w:r>
          </w:p>
          <w:p w14:paraId="2F7806BB" w14:textId="09DF2336" w:rsidR="003338FA" w:rsidRPr="007221CE" w:rsidRDefault="003338FA" w:rsidP="003338F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</w:pPr>
            <w:r>
              <w:t>Ability to work to tight timescales, under pressure and to manage multiple complex and high-profile deliverables at once.</w:t>
            </w:r>
          </w:p>
        </w:tc>
      </w:tr>
      <w:tr w:rsidR="0030430B" w:rsidRPr="007221CE" w14:paraId="7C0BF25A" w14:textId="77777777" w:rsidTr="007221CE">
        <w:trPr>
          <w:trHeight w:val="1500"/>
        </w:trPr>
        <w:tc>
          <w:tcPr>
            <w:tcW w:w="1881" w:type="dxa"/>
          </w:tcPr>
          <w:p w14:paraId="00C8AC5C" w14:textId="77777777" w:rsidR="0030430B" w:rsidRPr="007221CE" w:rsidRDefault="0030430B" w:rsidP="007221CE">
            <w:pPr>
              <w:rPr>
                <w:b/>
                <w:bCs/>
              </w:rPr>
            </w:pPr>
            <w:r>
              <w:rPr>
                <w:b/>
                <w:bCs/>
              </w:rPr>
              <w:t>Comparable Roles</w:t>
            </w:r>
          </w:p>
        </w:tc>
        <w:tc>
          <w:tcPr>
            <w:tcW w:w="8327" w:type="dxa"/>
          </w:tcPr>
          <w:p w14:paraId="2D890184" w14:textId="55D96112" w:rsidR="0030430B" w:rsidRDefault="004C6365" w:rsidP="003338FA">
            <w:pPr>
              <w:spacing w:line="276" w:lineRule="auto"/>
            </w:pPr>
            <w:r>
              <w:t>T</w:t>
            </w:r>
            <w:r w:rsidRPr="00116F0D">
              <w:t>here are no directly comparable roles</w:t>
            </w:r>
            <w:r>
              <w:t>.</w:t>
            </w:r>
          </w:p>
        </w:tc>
      </w:tr>
    </w:tbl>
    <w:p w14:paraId="715D6463" w14:textId="77777777" w:rsidR="007221CE" w:rsidRDefault="007221CE"/>
    <w:p w14:paraId="26E10B99" w14:textId="77777777" w:rsidR="007221CE" w:rsidRDefault="007221CE"/>
    <w:sectPr w:rsidR="007221CE" w:rsidSect="007221CE">
      <w:footerReference w:type="even" r:id="rId9"/>
      <w:footerReference w:type="default" r:id="rId10"/>
      <w:footerReference w:type="first" r:id="rId11"/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AB8D" w14:textId="77777777" w:rsidR="00E23FD7" w:rsidRDefault="00E23FD7" w:rsidP="00594D0B">
      <w:pPr>
        <w:spacing w:after="0" w:line="240" w:lineRule="auto"/>
      </w:pPr>
      <w:r>
        <w:separator/>
      </w:r>
    </w:p>
  </w:endnote>
  <w:endnote w:type="continuationSeparator" w:id="0">
    <w:p w14:paraId="5DC55EE1" w14:textId="77777777" w:rsidR="00E23FD7" w:rsidRDefault="00E23FD7" w:rsidP="0059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6743" w14:textId="07958F66" w:rsidR="00594D0B" w:rsidRDefault="00594D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AAEE43" wp14:editId="617A78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CD5CF" w14:textId="35934775" w:rsidR="00594D0B" w:rsidRPr="00594D0B" w:rsidRDefault="00594D0B" w:rsidP="00594D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4D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AEE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4ACD5CF" w14:textId="35934775" w:rsidR="00594D0B" w:rsidRPr="00594D0B" w:rsidRDefault="00594D0B" w:rsidP="00594D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4D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6F88" w14:textId="49ADF91B" w:rsidR="00594D0B" w:rsidRDefault="00594D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3A4B5D" wp14:editId="29A9F561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 Box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4C77B" w14:textId="0C05866A" w:rsidR="00594D0B" w:rsidRPr="00594D0B" w:rsidRDefault="00594D0B" w:rsidP="00594D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4D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A4B5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624C77B" w14:textId="0C05866A" w:rsidR="00594D0B" w:rsidRPr="00594D0B" w:rsidRDefault="00594D0B" w:rsidP="00594D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4D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2022" w14:textId="63370723" w:rsidR="00594D0B" w:rsidRDefault="00594D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19C4F9" wp14:editId="3CB90E9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217CF" w14:textId="3C082E33" w:rsidR="00594D0B" w:rsidRPr="00594D0B" w:rsidRDefault="00594D0B" w:rsidP="00594D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4D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9C4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87217CF" w14:textId="3C082E33" w:rsidR="00594D0B" w:rsidRPr="00594D0B" w:rsidRDefault="00594D0B" w:rsidP="00594D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4D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FA90" w14:textId="77777777" w:rsidR="00E23FD7" w:rsidRDefault="00E23FD7" w:rsidP="00594D0B">
      <w:pPr>
        <w:spacing w:after="0" w:line="240" w:lineRule="auto"/>
      </w:pPr>
      <w:r>
        <w:separator/>
      </w:r>
    </w:p>
  </w:footnote>
  <w:footnote w:type="continuationSeparator" w:id="0">
    <w:p w14:paraId="4E58F23B" w14:textId="77777777" w:rsidR="00E23FD7" w:rsidRDefault="00E23FD7" w:rsidP="0059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5D43"/>
    <w:multiLevelType w:val="hybridMultilevel"/>
    <w:tmpl w:val="4BBCBEEE"/>
    <w:lvl w:ilvl="0" w:tplc="C5E45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00DD"/>
    <w:multiLevelType w:val="hybridMultilevel"/>
    <w:tmpl w:val="6E763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2463"/>
    <w:multiLevelType w:val="hybridMultilevel"/>
    <w:tmpl w:val="02B887B0"/>
    <w:lvl w:ilvl="0" w:tplc="C5E45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5CEA"/>
    <w:multiLevelType w:val="hybridMultilevel"/>
    <w:tmpl w:val="B3E4B068"/>
    <w:lvl w:ilvl="0" w:tplc="C5E45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1225D"/>
    <w:multiLevelType w:val="hybridMultilevel"/>
    <w:tmpl w:val="046E6D36"/>
    <w:lvl w:ilvl="0" w:tplc="C5E45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505363">
    <w:abstractNumId w:val="2"/>
  </w:num>
  <w:num w:numId="2" w16cid:durableId="280695373">
    <w:abstractNumId w:val="1"/>
  </w:num>
  <w:num w:numId="3" w16cid:durableId="1401978391">
    <w:abstractNumId w:val="0"/>
  </w:num>
  <w:num w:numId="4" w16cid:durableId="186263488">
    <w:abstractNumId w:val="3"/>
  </w:num>
  <w:num w:numId="5" w16cid:durableId="280767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CE"/>
    <w:rsid w:val="0006769A"/>
    <w:rsid w:val="000C6A22"/>
    <w:rsid w:val="00142472"/>
    <w:rsid w:val="00150C1F"/>
    <w:rsid w:val="00181B00"/>
    <w:rsid w:val="00182497"/>
    <w:rsid w:val="0019560D"/>
    <w:rsid w:val="001F7BD4"/>
    <w:rsid w:val="00227F00"/>
    <w:rsid w:val="002527A6"/>
    <w:rsid w:val="002A089C"/>
    <w:rsid w:val="00302E25"/>
    <w:rsid w:val="0030430B"/>
    <w:rsid w:val="003338FA"/>
    <w:rsid w:val="00365EB1"/>
    <w:rsid w:val="00387F21"/>
    <w:rsid w:val="00394ABC"/>
    <w:rsid w:val="003B39D1"/>
    <w:rsid w:val="00475190"/>
    <w:rsid w:val="004805DD"/>
    <w:rsid w:val="00482EAA"/>
    <w:rsid w:val="004975F0"/>
    <w:rsid w:val="004C4F16"/>
    <w:rsid w:val="004C6365"/>
    <w:rsid w:val="004C7C71"/>
    <w:rsid w:val="004D0321"/>
    <w:rsid w:val="004D2B55"/>
    <w:rsid w:val="00580AD0"/>
    <w:rsid w:val="00594D0B"/>
    <w:rsid w:val="005A4A0D"/>
    <w:rsid w:val="005A6754"/>
    <w:rsid w:val="005B7A39"/>
    <w:rsid w:val="005E786F"/>
    <w:rsid w:val="00632EA5"/>
    <w:rsid w:val="006414DB"/>
    <w:rsid w:val="00655A99"/>
    <w:rsid w:val="00687ECE"/>
    <w:rsid w:val="006D09CD"/>
    <w:rsid w:val="00716377"/>
    <w:rsid w:val="00720FBD"/>
    <w:rsid w:val="007221CE"/>
    <w:rsid w:val="00756750"/>
    <w:rsid w:val="00761BE5"/>
    <w:rsid w:val="00770B87"/>
    <w:rsid w:val="00786115"/>
    <w:rsid w:val="00821273"/>
    <w:rsid w:val="00854E6F"/>
    <w:rsid w:val="008658F9"/>
    <w:rsid w:val="00882F9C"/>
    <w:rsid w:val="008A6BE4"/>
    <w:rsid w:val="008B6FD3"/>
    <w:rsid w:val="00950CA1"/>
    <w:rsid w:val="009670FC"/>
    <w:rsid w:val="009A3C3E"/>
    <w:rsid w:val="009A609E"/>
    <w:rsid w:val="009D11F4"/>
    <w:rsid w:val="009F16CF"/>
    <w:rsid w:val="00A114BF"/>
    <w:rsid w:val="00AC4B43"/>
    <w:rsid w:val="00AE5A92"/>
    <w:rsid w:val="00AE68AB"/>
    <w:rsid w:val="00B06C6C"/>
    <w:rsid w:val="00B162D0"/>
    <w:rsid w:val="00B629CC"/>
    <w:rsid w:val="00BC6D4F"/>
    <w:rsid w:val="00BC79F7"/>
    <w:rsid w:val="00BF4557"/>
    <w:rsid w:val="00C13716"/>
    <w:rsid w:val="00C227B0"/>
    <w:rsid w:val="00C27160"/>
    <w:rsid w:val="00C46AFB"/>
    <w:rsid w:val="00CB39AD"/>
    <w:rsid w:val="00D72083"/>
    <w:rsid w:val="00D778C5"/>
    <w:rsid w:val="00D80A3F"/>
    <w:rsid w:val="00DA4711"/>
    <w:rsid w:val="00DB14CA"/>
    <w:rsid w:val="00DD7CDA"/>
    <w:rsid w:val="00E0033E"/>
    <w:rsid w:val="00E23FD7"/>
    <w:rsid w:val="00E27E3E"/>
    <w:rsid w:val="00E64469"/>
    <w:rsid w:val="00E64CBC"/>
    <w:rsid w:val="00E7649E"/>
    <w:rsid w:val="00EB627B"/>
    <w:rsid w:val="00EF056A"/>
    <w:rsid w:val="00F533B7"/>
    <w:rsid w:val="00F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1A75"/>
  <w15:docId w15:val="{21CC3BFD-C06F-4EB0-B268-F93439FA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0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89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D09CD"/>
    <w:rPr>
      <w:color w:val="808080"/>
    </w:rPr>
  </w:style>
  <w:style w:type="paragraph" w:styleId="ListParagraph">
    <w:name w:val="List Paragraph"/>
    <w:basedOn w:val="Normal"/>
    <w:uiPriority w:val="34"/>
    <w:qFormat/>
    <w:rsid w:val="007861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94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0B"/>
  </w:style>
  <w:style w:type="paragraph" w:styleId="Revision">
    <w:name w:val="Revision"/>
    <w:hidden/>
    <w:uiPriority w:val="99"/>
    <w:semiHidden/>
    <w:rsid w:val="00E76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44F6FBDFEA49FE9B201C301967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19328-B83D-4668-B6E4-08927C76CF5D}"/>
      </w:docPartPr>
      <w:docPartBody>
        <w:p w:rsidR="00B91954" w:rsidRDefault="00046190" w:rsidP="00046190">
          <w:pPr>
            <w:pStyle w:val="3244F6FBDFEA49FE9B201C301967BCD45"/>
          </w:pPr>
          <w:r w:rsidRPr="0098538C">
            <w:rPr>
              <w:rStyle w:val="PlaceholderText"/>
            </w:rPr>
            <w:t>Choose an item.</w:t>
          </w:r>
        </w:p>
      </w:docPartBody>
    </w:docPart>
    <w:docPart>
      <w:docPartPr>
        <w:name w:val="8E8FBDCE6FBB4EFF8102B20CEFE6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06FD-E534-4CA1-80E9-F3F8178834B1}"/>
      </w:docPartPr>
      <w:docPartBody>
        <w:p w:rsidR="00B91954" w:rsidRDefault="00046190" w:rsidP="00046190">
          <w:pPr>
            <w:pStyle w:val="8E8FBDCE6FBB4EFF8102B20CEFE60CD36"/>
          </w:pPr>
          <w:r w:rsidRPr="0098538C">
            <w:rPr>
              <w:rStyle w:val="PlaceholderText"/>
            </w:rPr>
            <w:t>Choose an item.</w:t>
          </w:r>
        </w:p>
      </w:docPartBody>
    </w:docPart>
    <w:docPart>
      <w:docPartPr>
        <w:name w:val="C733D5EE4B6E4B61BEC321F0DF80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F719-5FDB-40D4-94E6-065F276EF2CD}"/>
      </w:docPartPr>
      <w:docPartBody>
        <w:p w:rsidR="00B91954" w:rsidRDefault="00046190" w:rsidP="00046190">
          <w:pPr>
            <w:pStyle w:val="C733D5EE4B6E4B61BEC321F0DF80BEFE6"/>
          </w:pPr>
          <w:r w:rsidRPr="0098538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22"/>
    <w:rsid w:val="00046190"/>
    <w:rsid w:val="00216582"/>
    <w:rsid w:val="00222FF0"/>
    <w:rsid w:val="00375E22"/>
    <w:rsid w:val="005B39C2"/>
    <w:rsid w:val="006309B7"/>
    <w:rsid w:val="009E6C1C"/>
    <w:rsid w:val="00B91954"/>
    <w:rsid w:val="00CE0E3F"/>
    <w:rsid w:val="00F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90"/>
    <w:rPr>
      <w:color w:val="808080"/>
    </w:rPr>
  </w:style>
  <w:style w:type="paragraph" w:customStyle="1" w:styleId="3244F6FBDFEA49FE9B201C301967BCD45">
    <w:name w:val="3244F6FBDFEA49FE9B201C301967BCD45"/>
    <w:rsid w:val="00046190"/>
    <w:rPr>
      <w:rFonts w:eastAsiaTheme="minorHAnsi"/>
      <w:lang w:eastAsia="en-US"/>
    </w:rPr>
  </w:style>
  <w:style w:type="paragraph" w:customStyle="1" w:styleId="8E8FBDCE6FBB4EFF8102B20CEFE60CD36">
    <w:name w:val="8E8FBDCE6FBB4EFF8102B20CEFE60CD36"/>
    <w:rsid w:val="00046190"/>
    <w:rPr>
      <w:rFonts w:eastAsiaTheme="minorHAnsi"/>
      <w:lang w:eastAsia="en-US"/>
    </w:rPr>
  </w:style>
  <w:style w:type="paragraph" w:customStyle="1" w:styleId="C733D5EE4B6E4B61BEC321F0DF80BEFE6">
    <w:name w:val="C733D5EE4B6E4B61BEC321F0DF80BEFE6"/>
    <w:rsid w:val="000461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247C-1275-45F9-9859-F74317E9A9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93eb60-780d-4dff-be4c-06f9751d5669}" enabled="1" method="Standard" siteId="{052de758-c1bf-42df-b1ad-f5078c261e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4583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</vt:lpstr>
    </vt:vector>
  </TitlesOfParts>
  <Company>Coventry Building Society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</dc:title>
  <dc:subject>Benchmarking</dc:subject>
  <dc:creator>Nic Cook</dc:creator>
  <cp:keywords>Reward</cp:keywords>
  <cp:lastModifiedBy>Peters,Lucy</cp:lastModifiedBy>
  <cp:revision>3</cp:revision>
  <dcterms:created xsi:type="dcterms:W3CDTF">2024-08-14T11:49:00Z</dcterms:created>
  <dcterms:modified xsi:type="dcterms:W3CDTF">2024-08-14T11:50:00Z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</Properties>
</file>